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5"/>
        <w:gridCol w:w="3105"/>
      </w:tblGrid>
      <w:tr w:rsidR="006344C5" w:rsidRPr="006C72E6" w14:paraId="4B57F3DF" w14:textId="77777777" w:rsidTr="00D512DE">
        <w:trPr>
          <w:cantSplit/>
          <w:trHeight w:val="359"/>
        </w:trPr>
        <w:tc>
          <w:tcPr>
            <w:tcW w:w="7155" w:type="dxa"/>
            <w:tcBorders>
              <w:top w:val="nil"/>
              <w:left w:val="nil"/>
              <w:bottom w:val="nil"/>
              <w:right w:val="nil"/>
            </w:tcBorders>
            <w:tcMar>
              <w:top w:w="0" w:type="dxa"/>
              <w:left w:w="53" w:type="dxa"/>
              <w:bottom w:w="0" w:type="dxa"/>
              <w:right w:w="53" w:type="dxa"/>
            </w:tcMar>
            <w:vAlign w:val="bottom"/>
          </w:tcPr>
          <w:p w14:paraId="4B57F3DD" w14:textId="77777777" w:rsidR="006344C5" w:rsidRPr="006C72E6" w:rsidRDefault="00772D17">
            <w:pPr>
              <w:keepNext/>
              <w:spacing w:before="53" w:after="30"/>
            </w:pPr>
            <w:r w:rsidRPr="006C72E6">
              <w:rPr>
                <w:rFonts w:ascii="Arial" w:eastAsia="Arial" w:hAnsi="Arial" w:cs="Arial"/>
                <w:b/>
                <w:color w:val="000000"/>
              </w:rPr>
              <w:t>ΔΕΛΤΙΟ ΤΥΠΟΥ</w:t>
            </w:r>
          </w:p>
        </w:tc>
        <w:tc>
          <w:tcPr>
            <w:tcW w:w="3105" w:type="dxa"/>
            <w:tcBorders>
              <w:top w:val="nil"/>
              <w:left w:val="nil"/>
              <w:bottom w:val="nil"/>
              <w:right w:val="nil"/>
            </w:tcBorders>
            <w:tcMar>
              <w:top w:w="0" w:type="dxa"/>
              <w:left w:w="0" w:type="dxa"/>
              <w:bottom w:w="0" w:type="dxa"/>
              <w:right w:w="0" w:type="dxa"/>
            </w:tcMar>
            <w:vAlign w:val="bottom"/>
          </w:tcPr>
          <w:p w14:paraId="4B57F3DE" w14:textId="77777777" w:rsidR="006344C5" w:rsidRPr="006C72E6" w:rsidRDefault="006344C5">
            <w:pPr>
              <w:keepNext/>
            </w:pPr>
          </w:p>
        </w:tc>
      </w:tr>
      <w:tr w:rsidR="006344C5" w:rsidRPr="006C72E6" w14:paraId="4B57F3E2" w14:textId="77777777" w:rsidTr="00D512DE">
        <w:trPr>
          <w:cantSplit/>
          <w:trHeight w:val="359"/>
        </w:trPr>
        <w:tc>
          <w:tcPr>
            <w:tcW w:w="7155" w:type="dxa"/>
            <w:tcBorders>
              <w:top w:val="nil"/>
              <w:left w:val="nil"/>
              <w:bottom w:val="nil"/>
              <w:right w:val="nil"/>
            </w:tcBorders>
            <w:tcMar>
              <w:top w:w="0" w:type="dxa"/>
              <w:left w:w="53" w:type="dxa"/>
              <w:bottom w:w="0" w:type="dxa"/>
              <w:right w:w="53" w:type="dxa"/>
            </w:tcMar>
            <w:vAlign w:val="bottom"/>
          </w:tcPr>
          <w:p w14:paraId="4B57F3E0" w14:textId="5BC9579F" w:rsidR="006344C5" w:rsidRPr="00F92825" w:rsidRDefault="00772D17">
            <w:pPr>
              <w:spacing w:before="53" w:after="30"/>
              <w:rPr>
                <w:lang w:val="en-US"/>
              </w:rPr>
            </w:pPr>
            <w:r w:rsidRPr="00037D20">
              <w:rPr>
                <w:rFonts w:ascii="Arial" w:eastAsia="Arial" w:hAnsi="Arial" w:cs="Arial"/>
                <w:b/>
                <w:color w:val="000000"/>
                <w:sz w:val="18"/>
                <w:szCs w:val="18"/>
              </w:rPr>
              <w:t xml:space="preserve">TSX: ELD NYSE: </w:t>
            </w:r>
            <w:r w:rsidR="00F92825" w:rsidRPr="00037D20">
              <w:rPr>
                <w:rFonts w:ascii="Arial" w:eastAsia="Arial" w:hAnsi="Arial" w:cs="Arial"/>
                <w:b/>
                <w:color w:val="000000"/>
                <w:sz w:val="18"/>
                <w:szCs w:val="18"/>
                <w:lang w:val="en-US"/>
              </w:rPr>
              <w:t>EGO</w:t>
            </w:r>
          </w:p>
        </w:tc>
        <w:tc>
          <w:tcPr>
            <w:tcW w:w="3105" w:type="dxa"/>
            <w:tcBorders>
              <w:top w:val="nil"/>
              <w:left w:val="nil"/>
              <w:bottom w:val="nil"/>
              <w:right w:val="nil"/>
            </w:tcBorders>
            <w:tcMar>
              <w:top w:w="0" w:type="dxa"/>
              <w:left w:w="0" w:type="dxa"/>
              <w:bottom w:w="0" w:type="dxa"/>
              <w:right w:w="53" w:type="dxa"/>
            </w:tcMar>
            <w:vAlign w:val="bottom"/>
          </w:tcPr>
          <w:p w14:paraId="4B57F3E1" w14:textId="674A2BAD" w:rsidR="006344C5" w:rsidRPr="006C72E6" w:rsidRDefault="00FD0C04">
            <w:pPr>
              <w:spacing w:before="53" w:after="30"/>
              <w:jc w:val="right"/>
            </w:pPr>
            <w:r>
              <w:rPr>
                <w:rFonts w:ascii="Arial" w:eastAsia="Arial" w:hAnsi="Arial" w:cs="Arial"/>
                <w:b/>
                <w:color w:val="000000"/>
              </w:rPr>
              <w:t>6</w:t>
            </w:r>
            <w:r w:rsidR="00162EFF">
              <w:rPr>
                <w:rFonts w:ascii="Arial" w:eastAsia="Arial" w:hAnsi="Arial" w:cs="Arial"/>
                <w:b/>
                <w:color w:val="000000"/>
                <w:lang w:val="en-US"/>
              </w:rPr>
              <w:t xml:space="preserve"> </w:t>
            </w:r>
            <w:r w:rsidR="00867389" w:rsidRPr="006C72E6">
              <w:rPr>
                <w:rFonts w:ascii="Arial" w:eastAsia="Arial" w:hAnsi="Arial" w:cs="Arial"/>
                <w:b/>
                <w:color w:val="000000"/>
              </w:rPr>
              <w:t>Φεβρου</w:t>
            </w:r>
            <w:r w:rsidR="00162EFF">
              <w:rPr>
                <w:rFonts w:ascii="Arial" w:eastAsia="Arial" w:hAnsi="Arial" w:cs="Arial"/>
                <w:b/>
                <w:color w:val="000000"/>
              </w:rPr>
              <w:t>αρίου</w:t>
            </w:r>
            <w:r w:rsidR="00772D17" w:rsidRPr="006C72E6">
              <w:rPr>
                <w:rFonts w:ascii="Arial" w:eastAsia="Arial" w:hAnsi="Arial" w:cs="Arial"/>
                <w:b/>
                <w:color w:val="000000"/>
              </w:rPr>
              <w:t xml:space="preserve"> 2025</w:t>
            </w:r>
          </w:p>
        </w:tc>
      </w:tr>
    </w:tbl>
    <w:p w14:paraId="2D256C1F" w14:textId="77777777" w:rsidR="00790C6E" w:rsidRPr="006C72E6" w:rsidRDefault="00790C6E" w:rsidP="00790C6E">
      <w:pPr>
        <w:tabs>
          <w:tab w:val="left" w:pos="10080"/>
          <w:tab w:val="right" w:pos="10260"/>
          <w:tab w:val="left" w:pos="10800"/>
          <w:tab w:val="left" w:pos="11520"/>
        </w:tabs>
        <w:jc w:val="center"/>
        <w:outlineLvl w:val="0"/>
        <w:rPr>
          <w:rFonts w:ascii="Arial" w:eastAsia="Arial" w:hAnsi="Arial" w:cs="Arial"/>
          <w:b/>
          <w:sz w:val="28"/>
        </w:rPr>
      </w:pPr>
    </w:p>
    <w:p w14:paraId="6B5FE70B" w14:textId="389191A9" w:rsidR="00040950" w:rsidRPr="00F92825" w:rsidRDefault="00772D17" w:rsidP="00F92825">
      <w:pPr>
        <w:tabs>
          <w:tab w:val="left" w:pos="10080"/>
          <w:tab w:val="right" w:pos="10260"/>
          <w:tab w:val="left" w:pos="10800"/>
          <w:tab w:val="left" w:pos="11520"/>
        </w:tabs>
        <w:jc w:val="center"/>
        <w:outlineLvl w:val="0"/>
        <w:rPr>
          <w:rFonts w:ascii="Arial" w:eastAsia="Arial" w:hAnsi="Arial" w:cs="Arial"/>
          <w:b/>
          <w:sz w:val="28"/>
        </w:rPr>
      </w:pPr>
      <w:r w:rsidRPr="006C72E6">
        <w:rPr>
          <w:rFonts w:ascii="Arial" w:eastAsia="Arial" w:hAnsi="Arial" w:cs="Arial"/>
          <w:b/>
          <w:sz w:val="28"/>
        </w:rPr>
        <w:t xml:space="preserve">Η Eldorado Gold παρέχει ενημέρωση για το έργο </w:t>
      </w:r>
      <w:r w:rsidR="00F92825">
        <w:rPr>
          <w:rFonts w:ascii="Arial" w:eastAsia="Arial" w:hAnsi="Arial" w:cs="Arial"/>
          <w:b/>
          <w:sz w:val="28"/>
        </w:rPr>
        <w:t xml:space="preserve">των Σκουριών, </w:t>
      </w:r>
      <w:r w:rsidR="00F92825">
        <w:rPr>
          <w:rFonts w:ascii="Arial" w:eastAsia="Arial" w:hAnsi="Arial" w:cs="Arial"/>
          <w:b/>
          <w:sz w:val="28"/>
        </w:rPr>
        <w:br/>
        <w:t>αναλυτική πρόβλεψη</w:t>
      </w:r>
      <w:r w:rsidR="00040950" w:rsidRPr="00F92825">
        <w:rPr>
          <w:rFonts w:ascii="Arial" w:eastAsia="Arial" w:hAnsi="Arial" w:cs="Arial"/>
          <w:b/>
          <w:sz w:val="28"/>
        </w:rPr>
        <w:t xml:space="preserve"> παραγωγή</w:t>
      </w:r>
      <w:r w:rsidR="00F92825" w:rsidRPr="00F92825">
        <w:rPr>
          <w:rFonts w:ascii="Arial" w:eastAsia="Arial" w:hAnsi="Arial" w:cs="Arial"/>
          <w:b/>
          <w:sz w:val="28"/>
        </w:rPr>
        <w:t>ς</w:t>
      </w:r>
      <w:r w:rsidR="00040950" w:rsidRPr="00F92825">
        <w:rPr>
          <w:rFonts w:ascii="Arial" w:eastAsia="Arial" w:hAnsi="Arial" w:cs="Arial"/>
          <w:b/>
          <w:sz w:val="28"/>
        </w:rPr>
        <w:t xml:space="preserve"> και κόστο</w:t>
      </w:r>
      <w:r w:rsidR="00F92825" w:rsidRPr="00F92825">
        <w:rPr>
          <w:rFonts w:ascii="Arial" w:eastAsia="Arial" w:hAnsi="Arial" w:cs="Arial"/>
          <w:b/>
          <w:sz w:val="28"/>
        </w:rPr>
        <w:t>υ</w:t>
      </w:r>
      <w:r w:rsidR="00040950" w:rsidRPr="00F92825">
        <w:rPr>
          <w:rFonts w:ascii="Arial" w:eastAsia="Arial" w:hAnsi="Arial" w:cs="Arial"/>
          <w:b/>
          <w:sz w:val="28"/>
        </w:rPr>
        <w:t>ς για το 2025</w:t>
      </w:r>
      <w:r w:rsidR="00F92825" w:rsidRPr="00F92825">
        <w:rPr>
          <w:rFonts w:ascii="Arial" w:eastAsia="Arial" w:hAnsi="Arial" w:cs="Arial"/>
          <w:b/>
          <w:sz w:val="28"/>
        </w:rPr>
        <w:t xml:space="preserve">, </w:t>
      </w:r>
    </w:p>
    <w:p w14:paraId="0727370D" w14:textId="2150EC9A" w:rsidR="00040950" w:rsidRPr="00F92825" w:rsidRDefault="00A40E29" w:rsidP="00040950">
      <w:pPr>
        <w:pStyle w:val="Heading1"/>
        <w:spacing w:before="40"/>
        <w:rPr>
          <w:rFonts w:eastAsia="Arial" w:cs="Arial"/>
          <w:bCs w:val="0"/>
          <w:kern w:val="16"/>
          <w:sz w:val="28"/>
          <w:szCs w:val="24"/>
          <w:lang w:val="el-GR" w:eastAsia="en-US"/>
        </w:rPr>
      </w:pPr>
      <w:r w:rsidRPr="00F92825">
        <w:rPr>
          <w:rFonts w:eastAsia="Arial" w:cs="Arial"/>
          <w:bCs w:val="0"/>
          <w:kern w:val="16"/>
          <w:sz w:val="28"/>
          <w:szCs w:val="24"/>
          <w:lang w:val="el-GR" w:eastAsia="en-US"/>
        </w:rPr>
        <w:t>επικαιροποιημένο τριετές προφίλ ανάπτυξης</w:t>
      </w:r>
      <w:bookmarkStart w:id="0" w:name="_Hlk92802412"/>
    </w:p>
    <w:bookmarkEnd w:id="0"/>
    <w:p w14:paraId="66145A9F" w14:textId="77777777" w:rsidR="00CB439B" w:rsidRPr="006C72E6" w:rsidRDefault="00CB439B" w:rsidP="00CB439B">
      <w:pPr>
        <w:pStyle w:val="Heading1"/>
        <w:spacing w:before="40" w:after="0"/>
        <w:rPr>
          <w:rFonts w:cs="Arial"/>
          <w:sz w:val="24"/>
          <w:szCs w:val="24"/>
          <w:lang w:val="el-GR"/>
        </w:rPr>
      </w:pPr>
      <w:r w:rsidRPr="00F92825">
        <w:rPr>
          <w:rFonts w:cs="Arial"/>
          <w:b w:val="0"/>
          <w:i/>
          <w:iCs/>
          <w:color w:val="000000"/>
          <w:lang w:val="el-GR"/>
        </w:rPr>
        <w:t>(Όλα τα στοιχεία σε δολάρια είναι σε δολάρια ΗΠΑ, εκτός αν αναφέρεται διαφορετικά)</w:t>
      </w:r>
    </w:p>
    <w:p w14:paraId="4B57F3E4" w14:textId="77777777" w:rsidR="006344C5" w:rsidRPr="00FD0C04" w:rsidRDefault="006344C5">
      <w:pPr>
        <w:spacing w:line="288" w:lineRule="auto"/>
        <w:jc w:val="center"/>
        <w:rPr>
          <w:rFonts w:ascii="Arial" w:eastAsia="Arial" w:hAnsi="Arial" w:cs="Arial"/>
          <w:sz w:val="22"/>
        </w:rPr>
      </w:pPr>
    </w:p>
    <w:p w14:paraId="4B57F3E5" w14:textId="6E3DADD8" w:rsidR="006344C5" w:rsidRPr="006C72E6" w:rsidRDefault="00F92825" w:rsidP="00DC5CE1">
      <w:pPr>
        <w:spacing w:after="120"/>
        <w:jc w:val="both"/>
        <w:rPr>
          <w:rFonts w:ascii="Arial" w:eastAsia="Arial" w:hAnsi="Arial" w:cs="Arial"/>
          <w:sz w:val="20"/>
        </w:rPr>
      </w:pPr>
      <w:r w:rsidRPr="00F92825">
        <w:rPr>
          <w:rFonts w:ascii="Arial" w:eastAsia="Arial" w:hAnsi="Arial" w:cs="Arial"/>
          <w:sz w:val="20"/>
        </w:rPr>
        <w:t>H  Eldorado Gold Corporation</w:t>
      </w:r>
      <w:r w:rsidR="00D55A22">
        <w:rPr>
          <w:rFonts w:ascii="Arial" w:eastAsia="Arial" w:hAnsi="Arial" w:cs="Arial"/>
          <w:sz w:val="20"/>
        </w:rPr>
        <w:t xml:space="preserve"> και η θυγατρική της </w:t>
      </w:r>
      <w:hyperlink r:id="rId11" w:history="1">
        <w:r w:rsidR="00D55A22" w:rsidRPr="00F92825">
          <w:rPr>
            <w:rStyle w:val="Hyperlink"/>
            <w:rFonts w:ascii="Arial" w:eastAsia="Arial" w:hAnsi="Arial" w:cs="Arial"/>
            <w:sz w:val="20"/>
          </w:rPr>
          <w:t>Ελληνικός Χρυσός</w:t>
        </w:r>
      </w:hyperlink>
      <w:r w:rsidR="00D55A22" w:rsidRPr="00F92825">
        <w:rPr>
          <w:rFonts w:ascii="Arial" w:eastAsia="Arial" w:hAnsi="Arial" w:cs="Arial"/>
          <w:sz w:val="20"/>
        </w:rPr>
        <w:t xml:space="preserve">, </w:t>
      </w:r>
      <w:r>
        <w:rPr>
          <w:rFonts w:ascii="Arial" w:eastAsia="Arial" w:hAnsi="Arial" w:cs="Arial"/>
          <w:sz w:val="20"/>
        </w:rPr>
        <w:t xml:space="preserve">παρέχουν νεότερη </w:t>
      </w:r>
      <w:r w:rsidR="00772D17" w:rsidRPr="006C72E6">
        <w:rPr>
          <w:rFonts w:ascii="Arial" w:eastAsia="Arial" w:hAnsi="Arial" w:cs="Arial"/>
          <w:sz w:val="20"/>
        </w:rPr>
        <w:t xml:space="preserve">ενημέρωση σχετικά με την πρόοδο κατασκευής του έργου χαλκού-χρυσού στις Σκουριές ("Σκουριές" ή το "Έργο"), </w:t>
      </w:r>
      <w:r w:rsidR="003156D6" w:rsidRPr="006C72E6">
        <w:rPr>
          <w:rFonts w:ascii="Arial" w:hAnsi="Arial" w:cs="Arial"/>
          <w:sz w:val="20"/>
          <w:szCs w:val="20"/>
        </w:rPr>
        <w:t xml:space="preserve">λεπτομερή </w:t>
      </w:r>
      <w:r>
        <w:rPr>
          <w:rFonts w:ascii="Arial" w:hAnsi="Arial" w:cs="Arial"/>
          <w:sz w:val="20"/>
          <w:szCs w:val="20"/>
        </w:rPr>
        <w:t>πρόβλεψη</w:t>
      </w:r>
      <w:r w:rsidR="003156D6" w:rsidRPr="006C72E6">
        <w:rPr>
          <w:rFonts w:ascii="Arial" w:hAnsi="Arial" w:cs="Arial"/>
          <w:sz w:val="20"/>
          <w:szCs w:val="20"/>
        </w:rPr>
        <w:t xml:space="preserve"> παραγωγής και κόστους για το 2025 και προοπτικές παραγωγής</w:t>
      </w:r>
      <w:r>
        <w:rPr>
          <w:rFonts w:ascii="Arial" w:hAnsi="Arial" w:cs="Arial"/>
          <w:sz w:val="20"/>
          <w:szCs w:val="20"/>
        </w:rPr>
        <w:t xml:space="preserve"> σε βάθος τριετίας</w:t>
      </w:r>
      <w:r w:rsidR="003156D6" w:rsidRPr="006C72E6">
        <w:rPr>
          <w:rFonts w:ascii="Arial" w:hAnsi="Arial" w:cs="Arial"/>
          <w:sz w:val="20"/>
          <w:szCs w:val="20"/>
        </w:rPr>
        <w:t xml:space="preserve">. </w:t>
      </w:r>
    </w:p>
    <w:p w14:paraId="0DE35D0A" w14:textId="26200624" w:rsidR="00566D06" w:rsidRPr="00EE4CD5" w:rsidRDefault="00566D06" w:rsidP="00DC5CE1">
      <w:pPr>
        <w:spacing w:after="120"/>
        <w:jc w:val="both"/>
        <w:rPr>
          <w:rFonts w:ascii="Arial" w:hAnsi="Arial" w:cs="Arial"/>
          <w:sz w:val="20"/>
          <w:szCs w:val="20"/>
        </w:rPr>
      </w:pPr>
      <w:r w:rsidRPr="006C72E6">
        <w:rPr>
          <w:rFonts w:ascii="Arial" w:hAnsi="Arial" w:cs="Arial"/>
          <w:sz w:val="20"/>
          <w:szCs w:val="20"/>
        </w:rPr>
        <w:t>Όπως έχει ήδη γνωστοποιηθεί, η στενότητα στην αγορά εργασίας στην Ελλάδα, ιδιαίτερα έντονη στον κατασκευαστικό το</w:t>
      </w:r>
      <w:bookmarkStart w:id="1" w:name="_GoBack"/>
      <w:bookmarkEnd w:id="1"/>
      <w:r w:rsidRPr="006C72E6">
        <w:rPr>
          <w:rFonts w:ascii="Arial" w:hAnsi="Arial" w:cs="Arial"/>
          <w:sz w:val="20"/>
          <w:szCs w:val="20"/>
        </w:rPr>
        <w:t xml:space="preserve">μέα, συνέχισε να περιορίζει τη διαθεσιμότητα </w:t>
      </w:r>
      <w:r w:rsidR="00F92825">
        <w:rPr>
          <w:rFonts w:ascii="Arial" w:hAnsi="Arial" w:cs="Arial"/>
          <w:sz w:val="20"/>
          <w:szCs w:val="20"/>
        </w:rPr>
        <w:t>βασικού</w:t>
      </w:r>
      <w:r w:rsidRPr="006C72E6">
        <w:rPr>
          <w:rFonts w:ascii="Arial" w:hAnsi="Arial" w:cs="Arial"/>
          <w:sz w:val="20"/>
          <w:szCs w:val="20"/>
        </w:rPr>
        <w:t xml:space="preserve"> προσωπικού </w:t>
      </w:r>
      <w:r w:rsidR="00F92825">
        <w:rPr>
          <w:rFonts w:ascii="Arial" w:hAnsi="Arial" w:cs="Arial"/>
          <w:sz w:val="20"/>
          <w:szCs w:val="20"/>
        </w:rPr>
        <w:t xml:space="preserve">κατασκευών </w:t>
      </w:r>
      <w:r w:rsidRPr="006C72E6">
        <w:rPr>
          <w:rFonts w:ascii="Arial" w:hAnsi="Arial" w:cs="Arial"/>
          <w:sz w:val="20"/>
          <w:szCs w:val="20"/>
        </w:rPr>
        <w:t xml:space="preserve">στις Σκουριές, με αποτέλεσμα </w:t>
      </w:r>
      <w:r w:rsidR="004A7EDA">
        <w:rPr>
          <w:rFonts w:ascii="Arial" w:hAnsi="Arial" w:cs="Arial"/>
          <w:sz w:val="20"/>
          <w:szCs w:val="20"/>
        </w:rPr>
        <w:t xml:space="preserve">τον </w:t>
      </w:r>
      <w:r w:rsidR="00F92825">
        <w:rPr>
          <w:rFonts w:ascii="Arial" w:hAnsi="Arial" w:cs="Arial"/>
          <w:sz w:val="20"/>
          <w:szCs w:val="20"/>
        </w:rPr>
        <w:t>μειωμένο ρυθμό</w:t>
      </w:r>
      <w:r w:rsidRPr="006C72E6">
        <w:rPr>
          <w:rFonts w:ascii="Arial" w:hAnsi="Arial" w:cs="Arial"/>
          <w:sz w:val="20"/>
          <w:szCs w:val="20"/>
        </w:rPr>
        <w:t xml:space="preserve"> αύξηση</w:t>
      </w:r>
      <w:r w:rsidR="00F92825">
        <w:rPr>
          <w:rFonts w:ascii="Arial" w:hAnsi="Arial" w:cs="Arial"/>
          <w:sz w:val="20"/>
          <w:szCs w:val="20"/>
        </w:rPr>
        <w:t>ς</w:t>
      </w:r>
      <w:r w:rsidRPr="006C72E6">
        <w:rPr>
          <w:rFonts w:ascii="Arial" w:hAnsi="Arial" w:cs="Arial"/>
          <w:sz w:val="20"/>
          <w:szCs w:val="20"/>
        </w:rPr>
        <w:t xml:space="preserve"> του εργατικού δυναμικού και καθυστέρηση της προόδου σε ορισμένους τομείς του έργου. Για να αντιμετωπίσει αυτούς τους περιορισμούς, η Eldorado ανέλαβε πρόσφατα, και έχει πλέον ολοκληρώσει, μια ολοκληρωμένη ανάλυση για να αξιολογήσει και, όπου είναι δυνατόν, να μετριάσει τον αντίκτυπό τους στο χρονοδιάγραμμα και το κόστος του έργου. Αυτή η ανάλυση περιλ</w:t>
      </w:r>
      <w:r w:rsidR="00F92825">
        <w:rPr>
          <w:rFonts w:ascii="Arial" w:hAnsi="Arial" w:cs="Arial"/>
          <w:sz w:val="20"/>
          <w:szCs w:val="20"/>
        </w:rPr>
        <w:t>αμβάνει</w:t>
      </w:r>
      <w:r w:rsidRPr="006C72E6">
        <w:rPr>
          <w:rFonts w:ascii="Arial" w:hAnsi="Arial" w:cs="Arial"/>
          <w:sz w:val="20"/>
          <w:szCs w:val="20"/>
        </w:rPr>
        <w:t xml:space="preserve"> τη </w:t>
      </w:r>
      <w:r w:rsidRPr="003941CE">
        <w:rPr>
          <w:rFonts w:ascii="Arial" w:hAnsi="Arial" w:cs="Arial"/>
          <w:sz w:val="20"/>
          <w:szCs w:val="20"/>
        </w:rPr>
        <w:t xml:space="preserve">βελτιστοποίηση του </w:t>
      </w:r>
      <w:r w:rsidR="00F92825" w:rsidRPr="003941CE">
        <w:rPr>
          <w:rFonts w:ascii="Arial" w:hAnsi="Arial" w:cs="Arial"/>
          <w:sz w:val="20"/>
          <w:szCs w:val="20"/>
        </w:rPr>
        <w:t>πλάνου</w:t>
      </w:r>
      <w:r w:rsidRPr="003941CE">
        <w:rPr>
          <w:rFonts w:ascii="Arial" w:hAnsi="Arial" w:cs="Arial"/>
          <w:sz w:val="20"/>
          <w:szCs w:val="20"/>
        </w:rPr>
        <w:t xml:space="preserve"> παραγωγής</w:t>
      </w:r>
      <w:r w:rsidRPr="006C72E6">
        <w:rPr>
          <w:rFonts w:ascii="Arial" w:hAnsi="Arial" w:cs="Arial"/>
          <w:sz w:val="20"/>
          <w:szCs w:val="20"/>
        </w:rPr>
        <w:t xml:space="preserve">, το οποίο αναμένεται τώρα να παρέχει ταχύτερη πρόσβαση σε </w:t>
      </w:r>
      <w:r w:rsidR="00680686">
        <w:rPr>
          <w:rFonts w:ascii="Arial" w:hAnsi="Arial" w:cs="Arial"/>
          <w:sz w:val="20"/>
          <w:szCs w:val="20"/>
        </w:rPr>
        <w:t>μετάλλευμα</w:t>
      </w:r>
      <w:r w:rsidRPr="006C72E6">
        <w:rPr>
          <w:rFonts w:ascii="Arial" w:hAnsi="Arial" w:cs="Arial"/>
          <w:sz w:val="20"/>
          <w:szCs w:val="20"/>
        </w:rPr>
        <w:t xml:space="preserve"> υψηλότερης </w:t>
      </w:r>
      <w:r w:rsidR="00680686">
        <w:rPr>
          <w:rFonts w:ascii="Arial" w:hAnsi="Arial" w:cs="Arial"/>
          <w:sz w:val="20"/>
          <w:szCs w:val="20"/>
        </w:rPr>
        <w:t>περιεκτικότητας</w:t>
      </w:r>
      <w:r w:rsidRPr="006C72E6">
        <w:rPr>
          <w:rFonts w:ascii="Arial" w:hAnsi="Arial" w:cs="Arial"/>
          <w:sz w:val="20"/>
          <w:szCs w:val="20"/>
        </w:rPr>
        <w:t xml:space="preserve"> </w:t>
      </w:r>
      <w:r w:rsidR="008C5DBD">
        <w:rPr>
          <w:rFonts w:ascii="Arial" w:hAnsi="Arial" w:cs="Arial"/>
          <w:sz w:val="20"/>
          <w:szCs w:val="20"/>
        </w:rPr>
        <w:t xml:space="preserve">σε χρυσό </w:t>
      </w:r>
      <w:r w:rsidRPr="006C72E6">
        <w:rPr>
          <w:rFonts w:ascii="Arial" w:hAnsi="Arial" w:cs="Arial"/>
          <w:sz w:val="20"/>
          <w:szCs w:val="20"/>
        </w:rPr>
        <w:t>μέσω της πρώιμης έναρξης τ</w:t>
      </w:r>
      <w:r w:rsidR="00F92825">
        <w:rPr>
          <w:rFonts w:ascii="Arial" w:hAnsi="Arial" w:cs="Arial"/>
          <w:sz w:val="20"/>
          <w:szCs w:val="20"/>
        </w:rPr>
        <w:t>ων μεταλλευτικών εργασιών</w:t>
      </w:r>
      <w:r w:rsidRPr="006C72E6">
        <w:rPr>
          <w:rFonts w:ascii="Arial" w:hAnsi="Arial" w:cs="Arial"/>
          <w:sz w:val="20"/>
          <w:szCs w:val="20"/>
        </w:rPr>
        <w:t xml:space="preserve"> και να </w:t>
      </w:r>
      <w:r w:rsidR="00F92825">
        <w:rPr>
          <w:rFonts w:ascii="Arial" w:hAnsi="Arial" w:cs="Arial"/>
          <w:sz w:val="20"/>
          <w:szCs w:val="20"/>
        </w:rPr>
        <w:t>επιταχύνει</w:t>
      </w:r>
      <w:r w:rsidRPr="006C72E6">
        <w:rPr>
          <w:rFonts w:ascii="Arial" w:hAnsi="Arial" w:cs="Arial"/>
          <w:sz w:val="20"/>
          <w:szCs w:val="20"/>
        </w:rPr>
        <w:t xml:space="preserve"> </w:t>
      </w:r>
      <w:r w:rsidR="00F92825">
        <w:rPr>
          <w:rFonts w:ascii="Arial" w:hAnsi="Arial" w:cs="Arial"/>
          <w:sz w:val="20"/>
          <w:szCs w:val="20"/>
        </w:rPr>
        <w:t>τη</w:t>
      </w:r>
      <w:r w:rsidRPr="006C72E6">
        <w:rPr>
          <w:rFonts w:ascii="Arial" w:hAnsi="Arial" w:cs="Arial"/>
          <w:sz w:val="20"/>
          <w:szCs w:val="20"/>
        </w:rPr>
        <w:t xml:space="preserve"> λειτουργία της μονάδας επεξεργασίας</w:t>
      </w:r>
      <w:r w:rsidR="00F92825">
        <w:rPr>
          <w:rFonts w:ascii="Arial" w:hAnsi="Arial" w:cs="Arial"/>
          <w:sz w:val="20"/>
          <w:szCs w:val="20"/>
        </w:rPr>
        <w:t xml:space="preserve"> (εργοστάσιο εμπλουτισμού)</w:t>
      </w:r>
      <w:r w:rsidRPr="006C72E6">
        <w:rPr>
          <w:rFonts w:ascii="Arial" w:hAnsi="Arial" w:cs="Arial"/>
          <w:sz w:val="20"/>
          <w:szCs w:val="20"/>
        </w:rPr>
        <w:t xml:space="preserve">. </w:t>
      </w:r>
      <w:r w:rsidR="00F92825">
        <w:rPr>
          <w:rFonts w:ascii="Arial" w:hAnsi="Arial" w:cs="Arial"/>
          <w:sz w:val="20"/>
          <w:szCs w:val="20"/>
        </w:rPr>
        <w:t xml:space="preserve"> </w:t>
      </w:r>
    </w:p>
    <w:p w14:paraId="72204EDE" w14:textId="5BF720F3" w:rsidR="00E51D8D" w:rsidRPr="006C72E6" w:rsidRDefault="00A005F5" w:rsidP="00DC5CE1">
      <w:pPr>
        <w:spacing w:after="120"/>
        <w:jc w:val="both"/>
        <w:rPr>
          <w:rFonts w:ascii="Arial" w:hAnsi="Arial" w:cs="Arial"/>
          <w:sz w:val="20"/>
          <w:szCs w:val="20"/>
        </w:rPr>
      </w:pPr>
      <w:r w:rsidRPr="006C72E6">
        <w:rPr>
          <w:rFonts w:ascii="Arial" w:hAnsi="Arial" w:cs="Arial"/>
          <w:sz w:val="20"/>
          <w:szCs w:val="20"/>
        </w:rPr>
        <w:t xml:space="preserve">Η πρώτη παραγωγή στις Σκουριές αναμένεται το πρώτο τρίμηνο του 2026, ακολουθούμενη από εμπορική παραγωγή στα μέσα του 2026. Η αναθεωρημένη εκτίμηση κόστους κεφαλαίου του έργου ενσωματώνει αύξηση περίπου 143 εκατομμυρίων δολαρίων ή 15,5% σε σχέση με προηγούμενες εκτιμήσεις κόστους κεφαλαίου, σε συνολικά περίπου 1,06 δισεκατομμύρια δολάρια. Επιπλέον, η Εταιρεία αναμένει να </w:t>
      </w:r>
      <w:r w:rsidR="00F92825">
        <w:rPr>
          <w:rFonts w:ascii="Arial" w:hAnsi="Arial" w:cs="Arial"/>
          <w:sz w:val="20"/>
          <w:szCs w:val="20"/>
        </w:rPr>
        <w:t>υλοποιήσει</w:t>
      </w:r>
      <w:r w:rsidRPr="006C72E6">
        <w:rPr>
          <w:rFonts w:ascii="Arial" w:hAnsi="Arial" w:cs="Arial"/>
          <w:sz w:val="20"/>
          <w:szCs w:val="20"/>
        </w:rPr>
        <w:t xml:space="preserve"> πρόσθετη </w:t>
      </w:r>
      <w:r w:rsidR="00F92825">
        <w:rPr>
          <w:rFonts w:ascii="Arial" w:hAnsi="Arial" w:cs="Arial"/>
          <w:sz w:val="20"/>
          <w:szCs w:val="20"/>
        </w:rPr>
        <w:t>εξόρυξη και</w:t>
      </w:r>
      <w:r w:rsidRPr="006C72E6">
        <w:rPr>
          <w:rFonts w:ascii="Arial" w:hAnsi="Arial" w:cs="Arial"/>
          <w:sz w:val="20"/>
          <w:szCs w:val="20"/>
        </w:rPr>
        <w:t xml:space="preserve"> παραγωγή </w:t>
      </w:r>
      <w:r w:rsidR="24602F85" w:rsidRPr="6FC5D938">
        <w:rPr>
          <w:rFonts w:ascii="Arial" w:hAnsi="Arial" w:cs="Arial"/>
          <w:sz w:val="20"/>
          <w:szCs w:val="20"/>
        </w:rPr>
        <w:t>προ</w:t>
      </w:r>
      <w:r w:rsidR="00880923">
        <w:rPr>
          <w:rFonts w:ascii="Arial" w:hAnsi="Arial" w:cs="Arial"/>
          <w:sz w:val="20"/>
          <w:szCs w:val="20"/>
        </w:rPr>
        <w:t>-</w:t>
      </w:r>
      <w:r w:rsidR="24602F85" w:rsidRPr="6FC5D938">
        <w:rPr>
          <w:rFonts w:ascii="Arial" w:hAnsi="Arial" w:cs="Arial"/>
          <w:sz w:val="20"/>
          <w:szCs w:val="20"/>
        </w:rPr>
        <w:t xml:space="preserve">εμπορικής λειτουργίας </w:t>
      </w:r>
      <w:r w:rsidRPr="006C72E6">
        <w:rPr>
          <w:rFonts w:ascii="Arial" w:hAnsi="Arial" w:cs="Arial"/>
          <w:sz w:val="20"/>
          <w:szCs w:val="20"/>
        </w:rPr>
        <w:t xml:space="preserve">και έχει επιταχύνει την αγορά κινητού εξοπλισμού υψηλότερης </w:t>
      </w:r>
      <w:r w:rsidR="00F92825">
        <w:rPr>
          <w:rFonts w:ascii="Arial" w:hAnsi="Arial" w:cs="Arial"/>
          <w:sz w:val="20"/>
          <w:szCs w:val="20"/>
        </w:rPr>
        <w:t>δυναμικότη</w:t>
      </w:r>
      <w:r w:rsidR="00763692">
        <w:rPr>
          <w:rFonts w:ascii="Arial" w:hAnsi="Arial" w:cs="Arial"/>
          <w:sz w:val="20"/>
          <w:szCs w:val="20"/>
        </w:rPr>
        <w:t>τ</w:t>
      </w:r>
      <w:r w:rsidR="00F92825">
        <w:rPr>
          <w:rFonts w:ascii="Arial" w:hAnsi="Arial" w:cs="Arial"/>
          <w:sz w:val="20"/>
          <w:szCs w:val="20"/>
        </w:rPr>
        <w:t>ας</w:t>
      </w:r>
      <w:r w:rsidRPr="006C72E6">
        <w:rPr>
          <w:rFonts w:ascii="Arial" w:hAnsi="Arial" w:cs="Arial"/>
          <w:sz w:val="20"/>
          <w:szCs w:val="20"/>
        </w:rPr>
        <w:t xml:space="preserve"> (αρχικά αναμενόταν να αγοραστεί μετά την εμπορική παραγωγή), με αποτέλεσμα 15</w:t>
      </w:r>
      <w:r w:rsidR="004168B1" w:rsidRPr="004168B1">
        <w:rPr>
          <w:rFonts w:ascii="Arial" w:hAnsi="Arial" w:cs="Arial"/>
          <w:sz w:val="20"/>
          <w:szCs w:val="20"/>
        </w:rPr>
        <w:t>4</w:t>
      </w:r>
      <w:r w:rsidRPr="006C72E6">
        <w:rPr>
          <w:rFonts w:ascii="Arial" w:hAnsi="Arial" w:cs="Arial"/>
          <w:sz w:val="20"/>
          <w:szCs w:val="20"/>
        </w:rPr>
        <w:t xml:space="preserve"> εκατομμύρια δολάρια</w:t>
      </w:r>
      <w:r w:rsidR="000A7AC7" w:rsidRPr="000A7AC7">
        <w:rPr>
          <w:rFonts w:ascii="Arial" w:hAnsi="Arial" w:cs="Arial"/>
          <w:sz w:val="20"/>
          <w:szCs w:val="20"/>
        </w:rPr>
        <w:t xml:space="preserve"> </w:t>
      </w:r>
      <w:r w:rsidR="001305BE">
        <w:rPr>
          <w:rFonts w:ascii="Arial" w:hAnsi="Arial" w:cs="Arial"/>
          <w:sz w:val="20"/>
          <w:szCs w:val="20"/>
        </w:rPr>
        <w:t>επιταχυ</w:t>
      </w:r>
      <w:r w:rsidR="00F6547B">
        <w:rPr>
          <w:rFonts w:ascii="Arial" w:hAnsi="Arial" w:cs="Arial"/>
          <w:sz w:val="20"/>
          <w:szCs w:val="20"/>
        </w:rPr>
        <w:t>μέ</w:t>
      </w:r>
      <w:r w:rsidR="001305BE">
        <w:rPr>
          <w:rFonts w:ascii="Arial" w:hAnsi="Arial" w:cs="Arial"/>
          <w:sz w:val="20"/>
          <w:szCs w:val="20"/>
        </w:rPr>
        <w:t>νου λειτουργικού κεφαλαίου πριν από την εμπορική παραγωγή</w:t>
      </w:r>
      <w:r w:rsidRPr="006C72E6">
        <w:rPr>
          <w:rFonts w:ascii="Arial" w:hAnsi="Arial" w:cs="Arial"/>
          <w:sz w:val="20"/>
          <w:szCs w:val="20"/>
        </w:rPr>
        <w:t xml:space="preserve">. </w:t>
      </w:r>
    </w:p>
    <w:p w14:paraId="667506E5" w14:textId="572A055B" w:rsidR="00566D06" w:rsidRPr="006C72E6" w:rsidRDefault="00641FC4" w:rsidP="00DC5CE1">
      <w:pPr>
        <w:spacing w:after="120"/>
        <w:jc w:val="both"/>
        <w:rPr>
          <w:rFonts w:ascii="Arial" w:hAnsi="Arial" w:cs="Arial"/>
          <w:sz w:val="20"/>
          <w:szCs w:val="20"/>
        </w:rPr>
      </w:pPr>
      <w:r w:rsidRPr="006C72E6">
        <w:rPr>
          <w:rFonts w:ascii="Arial" w:hAnsi="Arial" w:cs="Arial"/>
          <w:sz w:val="20"/>
          <w:szCs w:val="20"/>
        </w:rPr>
        <w:t xml:space="preserve">Το αναθεωρημένο χρονοδιάγραμμα και οι εκτιμήσεις κόστους </w:t>
      </w:r>
      <w:r w:rsidR="002606D2">
        <w:rPr>
          <w:rFonts w:ascii="Arial" w:hAnsi="Arial" w:cs="Arial"/>
          <w:sz w:val="20"/>
          <w:szCs w:val="20"/>
        </w:rPr>
        <w:t>εξακολουθούν να επηρεάζονται από</w:t>
      </w:r>
      <w:r w:rsidR="0063242F">
        <w:rPr>
          <w:rFonts w:ascii="Arial" w:hAnsi="Arial" w:cs="Arial"/>
          <w:sz w:val="20"/>
          <w:szCs w:val="20"/>
        </w:rPr>
        <w:t xml:space="preserve"> </w:t>
      </w:r>
      <w:r w:rsidR="00F92825">
        <w:rPr>
          <w:rFonts w:ascii="Arial" w:hAnsi="Arial" w:cs="Arial"/>
          <w:sz w:val="20"/>
          <w:szCs w:val="20"/>
        </w:rPr>
        <w:t>την απαιτούμενη</w:t>
      </w:r>
      <w:r w:rsidRPr="006C72E6">
        <w:rPr>
          <w:rFonts w:ascii="Arial" w:hAnsi="Arial" w:cs="Arial"/>
          <w:sz w:val="20"/>
          <w:szCs w:val="20"/>
        </w:rPr>
        <w:t xml:space="preserve"> αύξηση του εργατικού δυναμικού, με στόχο τη διατήρηση περίπου 1.300 εργαζομένων στο εργοτάξιο</w:t>
      </w:r>
      <w:r w:rsidR="00C71749">
        <w:rPr>
          <w:rFonts w:ascii="Arial" w:hAnsi="Arial" w:cs="Arial"/>
          <w:sz w:val="20"/>
          <w:szCs w:val="20"/>
        </w:rPr>
        <w:t xml:space="preserve"> στην κορύφωση</w:t>
      </w:r>
      <w:r w:rsidRPr="006C72E6">
        <w:rPr>
          <w:rFonts w:ascii="Arial" w:hAnsi="Arial" w:cs="Arial"/>
          <w:sz w:val="20"/>
          <w:szCs w:val="20"/>
        </w:rPr>
        <w:t xml:space="preserve"> της κατασκευαστικής περιόδου. Η Εταιρεία συνεχίζει να σημειώνει πρόοδο, επιτυγχάνοντας ένα σύνολο </w:t>
      </w:r>
      <w:r w:rsidR="008520B0">
        <w:rPr>
          <w:rFonts w:ascii="Arial" w:hAnsi="Arial" w:cs="Arial"/>
          <w:sz w:val="20"/>
          <w:szCs w:val="20"/>
        </w:rPr>
        <w:t xml:space="preserve">περίπου </w:t>
      </w:r>
      <w:r w:rsidRPr="006C72E6">
        <w:rPr>
          <w:rFonts w:ascii="Arial" w:hAnsi="Arial" w:cs="Arial"/>
          <w:sz w:val="20"/>
          <w:szCs w:val="20"/>
        </w:rPr>
        <w:t>1.</w:t>
      </w:r>
      <w:r w:rsidR="008520B0">
        <w:rPr>
          <w:rFonts w:ascii="Arial" w:hAnsi="Arial" w:cs="Arial"/>
          <w:sz w:val="20"/>
          <w:szCs w:val="20"/>
        </w:rPr>
        <w:t>15</w:t>
      </w:r>
      <w:r w:rsidRPr="006C72E6">
        <w:rPr>
          <w:rFonts w:ascii="Arial" w:hAnsi="Arial" w:cs="Arial"/>
          <w:sz w:val="20"/>
          <w:szCs w:val="20"/>
        </w:rPr>
        <w:t xml:space="preserve">0 εργαζομένων στα τέλη Ιανουαρίου. Ο </w:t>
      </w:r>
      <w:r w:rsidR="00F92825">
        <w:rPr>
          <w:rFonts w:ascii="Arial" w:hAnsi="Arial" w:cs="Arial"/>
          <w:sz w:val="20"/>
          <w:szCs w:val="20"/>
        </w:rPr>
        <w:t>παράγοντας κινδύνου που σχετίζεται με</w:t>
      </w:r>
      <w:r w:rsidRPr="006C72E6">
        <w:rPr>
          <w:rFonts w:ascii="Arial" w:hAnsi="Arial" w:cs="Arial"/>
          <w:sz w:val="20"/>
          <w:szCs w:val="20"/>
        </w:rPr>
        <w:t xml:space="preserve"> το εργατικό δυναμικό</w:t>
      </w:r>
      <w:r w:rsidR="00F92825">
        <w:rPr>
          <w:rFonts w:ascii="Arial" w:hAnsi="Arial" w:cs="Arial"/>
          <w:sz w:val="20"/>
          <w:szCs w:val="20"/>
        </w:rPr>
        <w:t xml:space="preserve"> θα είναι υπαρκτός και</w:t>
      </w:r>
      <w:r w:rsidRPr="006C72E6">
        <w:rPr>
          <w:rFonts w:ascii="Arial" w:hAnsi="Arial" w:cs="Arial"/>
          <w:sz w:val="20"/>
          <w:szCs w:val="20"/>
        </w:rPr>
        <w:t xml:space="preserve"> μετά την αύξηση του απαιτούμενου προσωπικού, καθώς η Εταιρεία </w:t>
      </w:r>
      <w:r w:rsidR="00F92825">
        <w:rPr>
          <w:rFonts w:ascii="Arial" w:hAnsi="Arial" w:cs="Arial"/>
          <w:sz w:val="20"/>
          <w:szCs w:val="20"/>
        </w:rPr>
        <w:t>θα επιδιώκει</w:t>
      </w:r>
      <w:r w:rsidRPr="006C72E6">
        <w:rPr>
          <w:rFonts w:ascii="Arial" w:hAnsi="Arial" w:cs="Arial"/>
          <w:sz w:val="20"/>
          <w:szCs w:val="20"/>
        </w:rPr>
        <w:t xml:space="preserve"> να ενσωματώνει και να διαχειρίζεται </w:t>
      </w:r>
      <w:r w:rsidR="00F92825">
        <w:rPr>
          <w:rFonts w:ascii="Arial" w:hAnsi="Arial" w:cs="Arial"/>
          <w:sz w:val="20"/>
          <w:szCs w:val="20"/>
        </w:rPr>
        <w:t xml:space="preserve">προσωπικό με </w:t>
      </w:r>
      <w:r w:rsidRPr="006C72E6">
        <w:rPr>
          <w:rFonts w:ascii="Arial" w:hAnsi="Arial" w:cs="Arial"/>
          <w:sz w:val="20"/>
          <w:szCs w:val="20"/>
        </w:rPr>
        <w:t>ποικίλ</w:t>
      </w:r>
      <w:r w:rsidR="00F92825">
        <w:rPr>
          <w:rFonts w:ascii="Arial" w:hAnsi="Arial" w:cs="Arial"/>
          <w:sz w:val="20"/>
          <w:szCs w:val="20"/>
        </w:rPr>
        <w:t xml:space="preserve">ες </w:t>
      </w:r>
      <w:r w:rsidRPr="006C72E6">
        <w:rPr>
          <w:rFonts w:ascii="Arial" w:hAnsi="Arial" w:cs="Arial"/>
          <w:sz w:val="20"/>
          <w:szCs w:val="20"/>
        </w:rPr>
        <w:t>δεξι</w:t>
      </w:r>
      <w:r w:rsidR="00F92825">
        <w:rPr>
          <w:rFonts w:ascii="Arial" w:hAnsi="Arial" w:cs="Arial"/>
          <w:sz w:val="20"/>
          <w:szCs w:val="20"/>
        </w:rPr>
        <w:t>ότητες</w:t>
      </w:r>
      <w:r w:rsidRPr="006C72E6">
        <w:rPr>
          <w:rFonts w:ascii="Arial" w:hAnsi="Arial" w:cs="Arial"/>
          <w:sz w:val="20"/>
          <w:szCs w:val="20"/>
        </w:rPr>
        <w:t xml:space="preserve"> (</w:t>
      </w:r>
      <w:r w:rsidR="00F92825">
        <w:rPr>
          <w:rFonts w:ascii="Arial" w:hAnsi="Arial" w:cs="Arial"/>
          <w:sz w:val="20"/>
          <w:szCs w:val="20"/>
        </w:rPr>
        <w:t xml:space="preserve">σε </w:t>
      </w:r>
      <w:r w:rsidRPr="006C72E6">
        <w:rPr>
          <w:rFonts w:ascii="Arial" w:hAnsi="Arial" w:cs="Arial"/>
          <w:sz w:val="20"/>
          <w:szCs w:val="20"/>
        </w:rPr>
        <w:t>σκυρόδεμα, μηχανικά, ηλεκτρικά και συστήματα ελέγχου)</w:t>
      </w:r>
      <w:r w:rsidR="00F92825">
        <w:rPr>
          <w:rFonts w:ascii="Arial" w:hAnsi="Arial" w:cs="Arial"/>
          <w:sz w:val="20"/>
          <w:szCs w:val="20"/>
        </w:rPr>
        <w:t>,</w:t>
      </w:r>
      <w:r w:rsidRPr="006C72E6">
        <w:rPr>
          <w:rFonts w:ascii="Arial" w:hAnsi="Arial" w:cs="Arial"/>
          <w:sz w:val="20"/>
          <w:szCs w:val="20"/>
        </w:rPr>
        <w:t xml:space="preserve"> </w:t>
      </w:r>
      <w:r w:rsidR="00F92825">
        <w:rPr>
          <w:rFonts w:ascii="Arial" w:hAnsi="Arial" w:cs="Arial"/>
          <w:sz w:val="20"/>
          <w:szCs w:val="20"/>
        </w:rPr>
        <w:t>απαραίτητες</w:t>
      </w:r>
      <w:r w:rsidRPr="006C72E6">
        <w:rPr>
          <w:rFonts w:ascii="Arial" w:hAnsi="Arial" w:cs="Arial"/>
          <w:sz w:val="20"/>
          <w:szCs w:val="20"/>
        </w:rPr>
        <w:t xml:space="preserve"> για την υποστήριξη των </w:t>
      </w:r>
      <w:r w:rsidR="00F92825">
        <w:rPr>
          <w:rFonts w:ascii="Arial" w:hAnsi="Arial" w:cs="Arial"/>
          <w:sz w:val="20"/>
          <w:szCs w:val="20"/>
        </w:rPr>
        <w:t>διαφόρων μερών του έργου που θα κατασκευάζονται</w:t>
      </w:r>
      <w:r w:rsidRPr="006C72E6">
        <w:rPr>
          <w:rFonts w:ascii="Arial" w:hAnsi="Arial" w:cs="Arial"/>
          <w:sz w:val="20"/>
          <w:szCs w:val="20"/>
        </w:rPr>
        <w:t xml:space="preserve">. </w:t>
      </w:r>
    </w:p>
    <w:p w14:paraId="32967D39" w14:textId="6C01FB95" w:rsidR="00566D06" w:rsidRPr="006C72E6" w:rsidRDefault="005F4BD8" w:rsidP="00DC5CE1">
      <w:pPr>
        <w:spacing w:after="120"/>
        <w:jc w:val="both"/>
        <w:rPr>
          <w:rFonts w:ascii="Arial" w:hAnsi="Arial" w:cs="Arial"/>
          <w:sz w:val="20"/>
          <w:szCs w:val="20"/>
        </w:rPr>
      </w:pPr>
      <w:r>
        <w:rPr>
          <w:rFonts w:ascii="Arial" w:hAnsi="Arial" w:cs="Arial"/>
          <w:sz w:val="20"/>
          <w:szCs w:val="20"/>
        </w:rPr>
        <w:t>Έως</w:t>
      </w:r>
      <w:r w:rsidR="00566D06" w:rsidRPr="006C72E6">
        <w:rPr>
          <w:rFonts w:ascii="Arial" w:hAnsi="Arial" w:cs="Arial"/>
          <w:sz w:val="20"/>
          <w:szCs w:val="20"/>
        </w:rPr>
        <w:t xml:space="preserve"> τις 31 Δεκεμβρίου 2024, η Εταιρεία έχει πραγματοποιήσει περίπου </w:t>
      </w:r>
      <w:r w:rsidR="00B8564C">
        <w:rPr>
          <w:rFonts w:ascii="Arial" w:hAnsi="Arial" w:cs="Arial"/>
          <w:sz w:val="20"/>
          <w:szCs w:val="20"/>
        </w:rPr>
        <w:t xml:space="preserve">512 </w:t>
      </w:r>
      <w:r w:rsidR="00D339FB" w:rsidRPr="006C72E6">
        <w:rPr>
          <w:rFonts w:ascii="Arial" w:hAnsi="Arial" w:cs="Arial"/>
          <w:sz w:val="20"/>
          <w:szCs w:val="20"/>
        </w:rPr>
        <w:t xml:space="preserve">εκατομμύρια δολάρια κεφαλαιουχικών δαπανών στις Σκουριές, με περίπου </w:t>
      </w:r>
      <w:r w:rsidR="00566D06" w:rsidRPr="00B8564C">
        <w:rPr>
          <w:rFonts w:ascii="Arial" w:hAnsi="Arial" w:cs="Arial"/>
          <w:sz w:val="20"/>
          <w:szCs w:val="20"/>
        </w:rPr>
        <w:t>70</w:t>
      </w:r>
      <w:r w:rsidR="00B8564C" w:rsidRPr="00B8564C">
        <w:rPr>
          <w:rFonts w:ascii="Arial" w:hAnsi="Arial" w:cs="Arial"/>
          <w:sz w:val="20"/>
          <w:szCs w:val="20"/>
        </w:rPr>
        <w:t>5</w:t>
      </w:r>
      <w:r w:rsidR="00566D06" w:rsidRPr="006C72E6">
        <w:rPr>
          <w:rFonts w:ascii="Arial" w:hAnsi="Arial" w:cs="Arial"/>
          <w:sz w:val="20"/>
          <w:szCs w:val="20"/>
        </w:rPr>
        <w:t xml:space="preserve"> εκατομμύρια δολάρια να αναμένεται να </w:t>
      </w:r>
      <w:r w:rsidR="00F92825">
        <w:rPr>
          <w:rFonts w:ascii="Arial" w:hAnsi="Arial" w:cs="Arial"/>
          <w:sz w:val="20"/>
          <w:szCs w:val="20"/>
        </w:rPr>
        <w:t>υποστηρίξουν τη φάση της</w:t>
      </w:r>
      <w:r w:rsidR="00566D06" w:rsidRPr="006C72E6">
        <w:rPr>
          <w:rFonts w:ascii="Arial" w:hAnsi="Arial" w:cs="Arial"/>
          <w:sz w:val="20"/>
          <w:szCs w:val="20"/>
        </w:rPr>
        <w:t xml:space="preserve"> εμπορική</w:t>
      </w:r>
      <w:r w:rsidR="00F92825">
        <w:rPr>
          <w:rFonts w:ascii="Arial" w:hAnsi="Arial" w:cs="Arial"/>
          <w:sz w:val="20"/>
          <w:szCs w:val="20"/>
        </w:rPr>
        <w:t>ς</w:t>
      </w:r>
      <w:r w:rsidR="00566D06" w:rsidRPr="006C72E6">
        <w:rPr>
          <w:rFonts w:ascii="Arial" w:hAnsi="Arial" w:cs="Arial"/>
          <w:sz w:val="20"/>
          <w:szCs w:val="20"/>
        </w:rPr>
        <w:t xml:space="preserve"> παραγωγή</w:t>
      </w:r>
      <w:r w:rsidR="00F92825">
        <w:rPr>
          <w:rFonts w:ascii="Arial" w:hAnsi="Arial" w:cs="Arial"/>
          <w:sz w:val="20"/>
          <w:szCs w:val="20"/>
        </w:rPr>
        <w:t>ς</w:t>
      </w:r>
      <w:r w:rsidR="00566D06" w:rsidRPr="006C72E6">
        <w:rPr>
          <w:rFonts w:ascii="Arial" w:hAnsi="Arial" w:cs="Arial"/>
          <w:sz w:val="20"/>
          <w:szCs w:val="20"/>
        </w:rPr>
        <w:t>, συμπεριλαμβανομέν</w:t>
      </w:r>
      <w:r w:rsidR="00EB4F8D">
        <w:rPr>
          <w:rFonts w:ascii="Arial" w:hAnsi="Arial" w:cs="Arial"/>
          <w:sz w:val="20"/>
          <w:szCs w:val="20"/>
        </w:rPr>
        <w:t xml:space="preserve">ου του </w:t>
      </w:r>
      <w:r w:rsidR="00BD0E50">
        <w:rPr>
          <w:rFonts w:ascii="Arial" w:hAnsi="Arial" w:cs="Arial"/>
          <w:sz w:val="20"/>
          <w:szCs w:val="20"/>
        </w:rPr>
        <w:t>επιταχυ</w:t>
      </w:r>
      <w:r w:rsidR="008F2C98">
        <w:rPr>
          <w:rFonts w:ascii="Arial" w:hAnsi="Arial" w:cs="Arial"/>
          <w:sz w:val="20"/>
          <w:szCs w:val="20"/>
        </w:rPr>
        <w:t>μέ</w:t>
      </w:r>
      <w:r w:rsidR="00BD0E50">
        <w:rPr>
          <w:rFonts w:ascii="Arial" w:hAnsi="Arial" w:cs="Arial"/>
          <w:sz w:val="20"/>
          <w:szCs w:val="20"/>
        </w:rPr>
        <w:t>νου λειτουργικού κεφαλαίου</w:t>
      </w:r>
      <w:r w:rsidR="00566D06" w:rsidRPr="006C72E6">
        <w:rPr>
          <w:rFonts w:ascii="Arial" w:hAnsi="Arial" w:cs="Arial"/>
          <w:sz w:val="20"/>
          <w:szCs w:val="20"/>
        </w:rPr>
        <w:t>.</w:t>
      </w:r>
      <w:r w:rsidR="0097789F" w:rsidRPr="006C72E6">
        <w:rPr>
          <w:rFonts w:ascii="Arial" w:hAnsi="Arial" w:cs="Arial"/>
          <w:sz w:val="20"/>
          <w:szCs w:val="20"/>
        </w:rPr>
        <w:t xml:space="preserve"> </w:t>
      </w:r>
    </w:p>
    <w:p w14:paraId="7AC091A7" w14:textId="43749EAE" w:rsidR="00010E8F" w:rsidRPr="006C72E6" w:rsidRDefault="00566D06" w:rsidP="00010E8F">
      <w:pPr>
        <w:jc w:val="both"/>
        <w:rPr>
          <w:rFonts w:ascii="Arial" w:hAnsi="Arial" w:cs="Arial"/>
          <w:sz w:val="20"/>
          <w:szCs w:val="20"/>
        </w:rPr>
      </w:pPr>
      <w:r w:rsidRPr="006C72E6">
        <w:rPr>
          <w:rFonts w:ascii="Arial" w:hAnsi="Arial" w:cs="Arial"/>
          <w:sz w:val="20"/>
          <w:szCs w:val="20"/>
        </w:rPr>
        <w:t>Η Εταιρεία διατηρεί ισχυρή οικονομική θέση, με περίπου 857 εκατομμύρια δολάρια σε μετρητά και ισοδύναμα μετρητών</w:t>
      </w:r>
      <w:r w:rsidR="00143290" w:rsidRPr="006C72E6">
        <w:rPr>
          <w:rFonts w:ascii="Arial" w:hAnsi="Arial" w:cs="Arial"/>
          <w:sz w:val="20"/>
          <w:szCs w:val="20"/>
          <w:vertAlign w:val="superscript"/>
        </w:rPr>
        <w:t>(1)</w:t>
      </w:r>
      <w:r w:rsidRPr="006C72E6">
        <w:rPr>
          <w:rFonts w:ascii="Arial" w:hAnsi="Arial" w:cs="Arial"/>
          <w:sz w:val="20"/>
          <w:szCs w:val="20"/>
        </w:rPr>
        <w:t xml:space="preserve"> και συνολική ρευστότητα</w:t>
      </w:r>
      <w:r w:rsidR="00B65452" w:rsidRPr="006C72E6">
        <w:rPr>
          <w:rFonts w:ascii="Arial" w:hAnsi="Arial" w:cs="Arial"/>
          <w:sz w:val="20"/>
          <w:szCs w:val="20"/>
          <w:vertAlign w:val="superscript"/>
        </w:rPr>
        <w:t>(2)</w:t>
      </w:r>
      <w:r w:rsidRPr="006C72E6">
        <w:rPr>
          <w:rFonts w:ascii="Arial" w:hAnsi="Arial" w:cs="Arial"/>
          <w:sz w:val="20"/>
          <w:szCs w:val="20"/>
        </w:rPr>
        <w:t xml:space="preserve"> περίπου 1,1 δισεκατομμυρίων δολαρίων στις 31 Δεκεμβρίου 2024. Το έργο παραμένει πλήρως χρηματοδοτούμενο μέσω του ισολογισμού </w:t>
      </w:r>
      <w:r w:rsidR="00F92825">
        <w:rPr>
          <w:rFonts w:ascii="Arial" w:hAnsi="Arial" w:cs="Arial"/>
          <w:sz w:val="20"/>
          <w:szCs w:val="20"/>
        </w:rPr>
        <w:t>της εταιρείας</w:t>
      </w:r>
      <w:r w:rsidRPr="006C72E6">
        <w:rPr>
          <w:rFonts w:ascii="Arial" w:hAnsi="Arial" w:cs="Arial"/>
          <w:sz w:val="20"/>
          <w:szCs w:val="20"/>
        </w:rPr>
        <w:t xml:space="preserve"> και των υπολειπόμενων μη αναληφθέντων </w:t>
      </w:r>
      <w:r w:rsidR="00F92825">
        <w:rPr>
          <w:rFonts w:ascii="Arial" w:hAnsi="Arial" w:cs="Arial"/>
          <w:sz w:val="20"/>
          <w:szCs w:val="20"/>
        </w:rPr>
        <w:t>κεφαλαίων</w:t>
      </w:r>
      <w:r w:rsidRPr="006C72E6">
        <w:rPr>
          <w:rFonts w:ascii="Arial" w:hAnsi="Arial" w:cs="Arial"/>
          <w:sz w:val="20"/>
          <w:szCs w:val="20"/>
        </w:rPr>
        <w:t xml:space="preserve"> στο πλαίσιο της </w:t>
      </w:r>
      <w:r w:rsidR="00F92825">
        <w:rPr>
          <w:rFonts w:ascii="Arial" w:hAnsi="Arial" w:cs="Arial"/>
          <w:sz w:val="20"/>
          <w:szCs w:val="20"/>
        </w:rPr>
        <w:t>χρηματοδότησης</w:t>
      </w:r>
      <w:r w:rsidRPr="006C72E6">
        <w:rPr>
          <w:rFonts w:ascii="Arial" w:hAnsi="Arial" w:cs="Arial"/>
          <w:sz w:val="20"/>
          <w:szCs w:val="20"/>
        </w:rPr>
        <w:t xml:space="preserve"> της Εταιρείας για το έργο </w:t>
      </w:r>
      <w:r w:rsidR="00F92825">
        <w:rPr>
          <w:rFonts w:ascii="Arial" w:hAnsi="Arial" w:cs="Arial"/>
          <w:sz w:val="20"/>
          <w:szCs w:val="20"/>
        </w:rPr>
        <w:t>των Σκουριών</w:t>
      </w:r>
      <w:r w:rsidRPr="006C72E6">
        <w:rPr>
          <w:rFonts w:ascii="Arial" w:hAnsi="Arial" w:cs="Arial"/>
          <w:sz w:val="20"/>
          <w:szCs w:val="20"/>
        </w:rPr>
        <w:t xml:space="preserve">.  Η ρευστότητα στο τέλος του έτους ενισχύθηκε περαιτέρω από την εκποίηση της συμμετοχής </w:t>
      </w:r>
      <w:r w:rsidR="00F92825">
        <w:rPr>
          <w:rFonts w:ascii="Arial" w:hAnsi="Arial" w:cs="Arial"/>
          <w:sz w:val="20"/>
          <w:szCs w:val="20"/>
        </w:rPr>
        <w:t xml:space="preserve">της </w:t>
      </w:r>
      <w:r w:rsidRPr="006C72E6">
        <w:rPr>
          <w:rFonts w:ascii="Arial" w:hAnsi="Arial" w:cs="Arial"/>
          <w:sz w:val="20"/>
          <w:szCs w:val="20"/>
        </w:rPr>
        <w:t>στην G Mining</w:t>
      </w:r>
      <w:r w:rsidR="001B5DCA" w:rsidRPr="001B5DCA">
        <w:rPr>
          <w:rFonts w:ascii="Arial" w:hAnsi="Arial" w:cs="Arial"/>
          <w:sz w:val="20"/>
          <w:szCs w:val="20"/>
        </w:rPr>
        <w:t xml:space="preserve"> </w:t>
      </w:r>
      <w:r w:rsidR="001B5DCA">
        <w:rPr>
          <w:rFonts w:ascii="Arial" w:hAnsi="Arial" w:cs="Arial"/>
          <w:sz w:val="20"/>
          <w:szCs w:val="20"/>
          <w:lang w:val="en-US"/>
        </w:rPr>
        <w:t>Ventures</w:t>
      </w:r>
      <w:r w:rsidRPr="006C72E6">
        <w:rPr>
          <w:rFonts w:ascii="Arial" w:hAnsi="Arial" w:cs="Arial"/>
          <w:sz w:val="20"/>
          <w:szCs w:val="20"/>
        </w:rPr>
        <w:t xml:space="preserve"> </w:t>
      </w:r>
      <w:r w:rsidR="005945A1">
        <w:rPr>
          <w:rFonts w:ascii="Arial" w:hAnsi="Arial" w:cs="Arial"/>
          <w:sz w:val="20"/>
          <w:szCs w:val="20"/>
        </w:rPr>
        <w:t>τον Ιανουάριο</w:t>
      </w:r>
      <w:r w:rsidR="005945A1" w:rsidRPr="006C72E6">
        <w:rPr>
          <w:rFonts w:ascii="Arial" w:hAnsi="Arial" w:cs="Arial"/>
          <w:sz w:val="20"/>
          <w:szCs w:val="20"/>
        </w:rPr>
        <w:t xml:space="preserve"> 2025</w:t>
      </w:r>
      <w:r w:rsidR="003617D4">
        <w:rPr>
          <w:rFonts w:ascii="Arial" w:hAnsi="Arial" w:cs="Arial"/>
          <w:sz w:val="20"/>
          <w:szCs w:val="20"/>
        </w:rPr>
        <w:t xml:space="preserve"> </w:t>
      </w:r>
      <w:r w:rsidR="00F92825">
        <w:rPr>
          <w:rFonts w:ascii="Arial" w:hAnsi="Arial" w:cs="Arial"/>
          <w:sz w:val="20"/>
          <w:szCs w:val="20"/>
        </w:rPr>
        <w:t>με</w:t>
      </w:r>
      <w:r w:rsidRPr="006C72E6">
        <w:rPr>
          <w:rFonts w:ascii="Arial" w:hAnsi="Arial" w:cs="Arial"/>
          <w:sz w:val="20"/>
          <w:szCs w:val="20"/>
        </w:rPr>
        <w:t xml:space="preserve"> έσοδα ύψους 1</w:t>
      </w:r>
      <w:r w:rsidR="001B5DCA" w:rsidRPr="001B5DCA">
        <w:rPr>
          <w:rFonts w:ascii="Arial" w:hAnsi="Arial" w:cs="Arial"/>
          <w:sz w:val="20"/>
          <w:szCs w:val="20"/>
        </w:rPr>
        <w:t>5</w:t>
      </w:r>
      <w:r w:rsidRPr="006C72E6">
        <w:rPr>
          <w:rFonts w:ascii="Arial" w:hAnsi="Arial" w:cs="Arial"/>
          <w:sz w:val="20"/>
          <w:szCs w:val="20"/>
        </w:rPr>
        <w:t xml:space="preserve">5 εκατομμυρίων δολαρίων ΗΠΑ. </w:t>
      </w:r>
    </w:p>
    <w:p w14:paraId="524EBB1D" w14:textId="48A0A20A" w:rsidR="00566D06" w:rsidRPr="006C72E6" w:rsidRDefault="00566D06" w:rsidP="00DC5CE1">
      <w:pPr>
        <w:spacing w:after="120"/>
        <w:jc w:val="both"/>
        <w:rPr>
          <w:rFonts w:ascii="Arial" w:hAnsi="Arial" w:cs="Arial"/>
          <w:sz w:val="20"/>
          <w:szCs w:val="20"/>
        </w:rPr>
      </w:pPr>
    </w:p>
    <w:p w14:paraId="02CCF618" w14:textId="0824AEC8" w:rsidR="00F052EA" w:rsidRPr="006C72E6" w:rsidRDefault="00F052EA" w:rsidP="00035428">
      <w:pPr>
        <w:ind w:left="173" w:hanging="173"/>
        <w:jc w:val="both"/>
        <w:rPr>
          <w:rFonts w:ascii="Arial" w:hAnsi="Arial" w:cs="Arial"/>
          <w:kern w:val="0"/>
          <w:sz w:val="16"/>
          <w:szCs w:val="16"/>
        </w:rPr>
      </w:pPr>
      <w:r w:rsidRPr="006C72E6">
        <w:rPr>
          <w:rFonts w:ascii="Arial" w:hAnsi="Arial" w:cs="Arial"/>
          <w:kern w:val="0"/>
          <w:sz w:val="16"/>
          <w:szCs w:val="16"/>
          <w:vertAlign w:val="superscript"/>
        </w:rPr>
        <w:t>(1)</w:t>
      </w:r>
      <w:r w:rsidRPr="006C72E6">
        <w:rPr>
          <w:rFonts w:ascii="Arial" w:hAnsi="Arial" w:cs="Arial"/>
          <w:kern w:val="0"/>
          <w:sz w:val="16"/>
          <w:szCs w:val="16"/>
        </w:rPr>
        <w:t xml:space="preserve"> Η ταμειακή θέση αντικατοπτρίζει το ταμειακό υπόλοιπο και τα ταμειακά ισοδύναμα της Εταιρείας.  Τα ποσά είναι μη ελεγμένα.</w:t>
      </w:r>
    </w:p>
    <w:p w14:paraId="0C09996A" w14:textId="3877296C" w:rsidR="00F052EA" w:rsidRPr="006C72E6" w:rsidRDefault="00F052EA" w:rsidP="00F052EA">
      <w:pPr>
        <w:jc w:val="both"/>
        <w:rPr>
          <w:rFonts w:ascii="Arial" w:hAnsi="Arial" w:cs="Arial"/>
          <w:kern w:val="0"/>
          <w:sz w:val="16"/>
          <w:szCs w:val="16"/>
        </w:rPr>
      </w:pPr>
      <w:r w:rsidRPr="006C72E6">
        <w:rPr>
          <w:rFonts w:ascii="Arial" w:hAnsi="Arial" w:cs="Arial"/>
          <w:kern w:val="0"/>
          <w:sz w:val="16"/>
          <w:szCs w:val="16"/>
          <w:vertAlign w:val="superscript"/>
        </w:rPr>
        <w:t>(2)</w:t>
      </w:r>
      <w:r w:rsidRPr="006C72E6">
        <w:rPr>
          <w:rFonts w:ascii="Arial" w:hAnsi="Arial" w:cs="Arial"/>
          <w:kern w:val="0"/>
          <w:sz w:val="16"/>
          <w:szCs w:val="16"/>
        </w:rPr>
        <w:t xml:space="preserve"> Η συνολική ρευστότητα περιλαμβάνει το ταμειακό υπόλοιπο και τη διαθεσιμότητα της εξασφαλισμένης </w:t>
      </w:r>
      <w:r w:rsidR="69B5E053" w:rsidRPr="006C72E6">
        <w:rPr>
          <w:rFonts w:ascii="Arial" w:hAnsi="Arial" w:cs="Arial"/>
          <w:kern w:val="0"/>
          <w:sz w:val="16"/>
          <w:szCs w:val="16"/>
        </w:rPr>
        <w:t>δανειοδότησης</w:t>
      </w:r>
      <w:r w:rsidRPr="006C72E6">
        <w:rPr>
          <w:rFonts w:ascii="Arial" w:hAnsi="Arial" w:cs="Arial"/>
          <w:kern w:val="0"/>
          <w:sz w:val="16"/>
          <w:szCs w:val="16"/>
        </w:rPr>
        <w:t>. Τα ποσά είναι μη ελεγμένα.</w:t>
      </w:r>
    </w:p>
    <w:p w14:paraId="13363E15" w14:textId="77777777" w:rsidR="00010E8F" w:rsidRPr="006C72E6" w:rsidRDefault="00010E8F" w:rsidP="00F052EA">
      <w:pPr>
        <w:jc w:val="both"/>
        <w:rPr>
          <w:rFonts w:ascii="Arial" w:hAnsi="Arial" w:cs="Arial"/>
          <w:kern w:val="0"/>
          <w:sz w:val="16"/>
          <w:szCs w:val="16"/>
        </w:rPr>
      </w:pPr>
    </w:p>
    <w:p w14:paraId="25C11CF3" w14:textId="77777777" w:rsidR="00AC032C" w:rsidRPr="00FD0C04" w:rsidRDefault="00AC032C" w:rsidP="00DC5CE1">
      <w:pPr>
        <w:pStyle w:val="NormalWeb"/>
        <w:spacing w:before="0" w:beforeAutospacing="0" w:after="120" w:afterAutospacing="0"/>
        <w:jc w:val="both"/>
        <w:rPr>
          <w:rFonts w:ascii="Arial" w:hAnsi="Arial" w:cs="Arial"/>
          <w:sz w:val="20"/>
          <w:szCs w:val="20"/>
        </w:rPr>
      </w:pPr>
    </w:p>
    <w:p w14:paraId="58FAB1CA" w14:textId="6883A924" w:rsidR="0002297D" w:rsidRPr="006C72E6" w:rsidRDefault="00553812" w:rsidP="00DC5CE1">
      <w:pPr>
        <w:pStyle w:val="NormalWeb"/>
        <w:spacing w:before="0" w:beforeAutospacing="0" w:after="120" w:afterAutospacing="0"/>
        <w:jc w:val="both"/>
        <w:rPr>
          <w:rFonts w:ascii="Arial" w:hAnsi="Arial" w:cs="Arial"/>
          <w:sz w:val="20"/>
          <w:szCs w:val="20"/>
        </w:rPr>
      </w:pPr>
      <w:r>
        <w:rPr>
          <w:rFonts w:ascii="Arial" w:hAnsi="Arial" w:cs="Arial"/>
          <w:sz w:val="20"/>
          <w:szCs w:val="20"/>
        </w:rPr>
        <w:lastRenderedPageBreak/>
        <w:t>«</w:t>
      </w:r>
      <w:r w:rsidR="001B5DCA">
        <w:rPr>
          <w:rFonts w:ascii="Arial" w:hAnsi="Arial" w:cs="Arial"/>
          <w:sz w:val="20"/>
          <w:szCs w:val="20"/>
        </w:rPr>
        <w:t xml:space="preserve">Έχουμε </w:t>
      </w:r>
      <w:r w:rsidR="007E2A26">
        <w:rPr>
          <w:rFonts w:ascii="Arial" w:hAnsi="Arial" w:cs="Arial"/>
          <w:sz w:val="20"/>
          <w:szCs w:val="20"/>
        </w:rPr>
        <w:t xml:space="preserve">αναθεωρήσει </w:t>
      </w:r>
      <w:r w:rsidR="003369E8">
        <w:rPr>
          <w:rFonts w:ascii="Arial" w:hAnsi="Arial" w:cs="Arial"/>
          <w:sz w:val="20"/>
          <w:szCs w:val="20"/>
        </w:rPr>
        <w:t>τις εκτιμήσεις</w:t>
      </w:r>
      <w:r w:rsidR="00566D06" w:rsidRPr="006C72E6">
        <w:rPr>
          <w:rFonts w:ascii="Arial" w:hAnsi="Arial" w:cs="Arial"/>
          <w:sz w:val="20"/>
          <w:szCs w:val="20"/>
        </w:rPr>
        <w:t xml:space="preserve"> έναρξη</w:t>
      </w:r>
      <w:r w:rsidR="007E2A26">
        <w:rPr>
          <w:rFonts w:ascii="Arial" w:hAnsi="Arial" w:cs="Arial"/>
          <w:sz w:val="20"/>
          <w:szCs w:val="20"/>
        </w:rPr>
        <w:t>ς</w:t>
      </w:r>
      <w:r w:rsidR="00566D06" w:rsidRPr="006C72E6">
        <w:rPr>
          <w:rFonts w:ascii="Arial" w:hAnsi="Arial" w:cs="Arial"/>
          <w:sz w:val="20"/>
          <w:szCs w:val="20"/>
        </w:rPr>
        <w:t xml:space="preserve"> λειτουργίας και </w:t>
      </w:r>
      <w:r w:rsidR="007108C9">
        <w:rPr>
          <w:rFonts w:ascii="Arial" w:hAnsi="Arial" w:cs="Arial"/>
          <w:sz w:val="20"/>
          <w:szCs w:val="20"/>
        </w:rPr>
        <w:t>κόστους</w:t>
      </w:r>
      <w:r w:rsidR="00566D06" w:rsidRPr="006C72E6">
        <w:rPr>
          <w:rFonts w:ascii="Arial" w:hAnsi="Arial" w:cs="Arial"/>
          <w:sz w:val="20"/>
          <w:szCs w:val="20"/>
        </w:rPr>
        <w:t>, παραμένο</w:t>
      </w:r>
      <w:r w:rsidR="007E2A26">
        <w:rPr>
          <w:rFonts w:ascii="Arial" w:hAnsi="Arial" w:cs="Arial"/>
          <w:sz w:val="20"/>
          <w:szCs w:val="20"/>
        </w:rPr>
        <w:t>ντας</w:t>
      </w:r>
      <w:r w:rsidR="00566D06" w:rsidRPr="006C72E6">
        <w:rPr>
          <w:rFonts w:ascii="Arial" w:hAnsi="Arial" w:cs="Arial"/>
          <w:sz w:val="20"/>
          <w:szCs w:val="20"/>
        </w:rPr>
        <w:t xml:space="preserve"> σίγουροι για τη μακροπρόθεσμη αξία </w:t>
      </w:r>
      <w:r w:rsidR="00F92825">
        <w:rPr>
          <w:rFonts w:ascii="Arial" w:hAnsi="Arial" w:cs="Arial"/>
          <w:sz w:val="20"/>
          <w:szCs w:val="20"/>
        </w:rPr>
        <w:t>του έργου των</w:t>
      </w:r>
      <w:r w:rsidR="00566D06" w:rsidRPr="006C72E6">
        <w:rPr>
          <w:rFonts w:ascii="Arial" w:hAnsi="Arial" w:cs="Arial"/>
          <w:sz w:val="20"/>
          <w:szCs w:val="20"/>
        </w:rPr>
        <w:t xml:space="preserve"> Σκουριών, που </w:t>
      </w:r>
      <w:r w:rsidR="00F92825">
        <w:rPr>
          <w:rFonts w:ascii="Arial" w:hAnsi="Arial" w:cs="Arial"/>
          <w:sz w:val="20"/>
          <w:szCs w:val="20"/>
        </w:rPr>
        <w:t>υπογραμμίζεται</w:t>
      </w:r>
      <w:r w:rsidR="00566D06" w:rsidRPr="006C72E6">
        <w:rPr>
          <w:rFonts w:ascii="Arial" w:hAnsi="Arial" w:cs="Arial"/>
          <w:sz w:val="20"/>
          <w:szCs w:val="20"/>
        </w:rPr>
        <w:t xml:space="preserve"> από την αρχική 20ετή </w:t>
      </w:r>
      <w:r w:rsidR="00F92825">
        <w:rPr>
          <w:rFonts w:ascii="Arial" w:hAnsi="Arial" w:cs="Arial"/>
          <w:sz w:val="20"/>
          <w:szCs w:val="20"/>
        </w:rPr>
        <w:t>διάρκεια ζωής</w:t>
      </w:r>
      <w:r w:rsidR="00566D06" w:rsidRPr="006C72E6">
        <w:rPr>
          <w:rFonts w:ascii="Arial" w:hAnsi="Arial" w:cs="Arial"/>
          <w:sz w:val="20"/>
          <w:szCs w:val="20"/>
        </w:rPr>
        <w:t xml:space="preserve"> του </w:t>
      </w:r>
      <w:r w:rsidR="00F92825">
        <w:rPr>
          <w:rFonts w:ascii="Arial" w:hAnsi="Arial" w:cs="Arial"/>
          <w:sz w:val="20"/>
          <w:szCs w:val="20"/>
        </w:rPr>
        <w:t>μεταλλείου</w:t>
      </w:r>
      <w:r w:rsidR="00566D06" w:rsidRPr="006C72E6">
        <w:rPr>
          <w:rFonts w:ascii="Arial" w:hAnsi="Arial" w:cs="Arial"/>
          <w:sz w:val="20"/>
          <w:szCs w:val="20"/>
        </w:rPr>
        <w:t xml:space="preserve"> </w:t>
      </w:r>
      <w:r w:rsidR="00F92825">
        <w:rPr>
          <w:rFonts w:ascii="Arial" w:hAnsi="Arial" w:cs="Arial"/>
          <w:sz w:val="20"/>
          <w:szCs w:val="20"/>
        </w:rPr>
        <w:t>με</w:t>
      </w:r>
      <w:r w:rsidR="00566D06" w:rsidRPr="006C72E6">
        <w:rPr>
          <w:rFonts w:ascii="Arial" w:hAnsi="Arial" w:cs="Arial"/>
          <w:sz w:val="20"/>
          <w:szCs w:val="20"/>
        </w:rPr>
        <w:t xml:space="preserve"> </w:t>
      </w:r>
      <w:r w:rsidR="00F92825">
        <w:rPr>
          <w:rFonts w:ascii="Arial" w:hAnsi="Arial" w:cs="Arial"/>
          <w:sz w:val="20"/>
          <w:szCs w:val="20"/>
        </w:rPr>
        <w:t>σημαντικό</w:t>
      </w:r>
      <w:r w:rsidR="00566D06" w:rsidRPr="006C72E6">
        <w:rPr>
          <w:rFonts w:ascii="Arial" w:hAnsi="Arial" w:cs="Arial"/>
          <w:sz w:val="20"/>
          <w:szCs w:val="20"/>
        </w:rPr>
        <w:t xml:space="preserve"> </w:t>
      </w:r>
      <w:r w:rsidR="00F029E8">
        <w:rPr>
          <w:rFonts w:ascii="Arial" w:hAnsi="Arial" w:cs="Arial"/>
          <w:sz w:val="20"/>
          <w:szCs w:val="20"/>
        </w:rPr>
        <w:t xml:space="preserve">θετικό </w:t>
      </w:r>
      <w:r w:rsidR="00566D06" w:rsidRPr="006C72E6">
        <w:rPr>
          <w:rFonts w:ascii="Arial" w:hAnsi="Arial" w:cs="Arial"/>
          <w:sz w:val="20"/>
          <w:szCs w:val="20"/>
        </w:rPr>
        <w:t xml:space="preserve">αντίκτυπο στην παραγωγή και το κόστος </w:t>
      </w:r>
      <w:r>
        <w:rPr>
          <w:rFonts w:ascii="Arial" w:hAnsi="Arial" w:cs="Arial"/>
          <w:sz w:val="20"/>
          <w:szCs w:val="20"/>
        </w:rPr>
        <w:t>μας»,</w:t>
      </w:r>
      <w:r w:rsidR="00566D06" w:rsidRPr="006C72E6">
        <w:rPr>
          <w:rFonts w:ascii="Arial" w:hAnsi="Arial" w:cs="Arial"/>
          <w:sz w:val="20"/>
          <w:szCs w:val="20"/>
        </w:rPr>
        <w:t xml:space="preserve"> </w:t>
      </w:r>
      <w:r w:rsidR="00D7400D" w:rsidRPr="006C72E6">
        <w:rPr>
          <w:rStyle w:val="cf01"/>
          <w:rFonts w:ascii="Arial" w:hAnsi="Arial" w:cs="Arial"/>
          <w:bCs/>
          <w:sz w:val="20"/>
          <w:szCs w:val="20"/>
        </w:rPr>
        <w:t>δήλωσε ο George Burns, Πρόεδρος και Διευθύνων Σύμβουλος</w:t>
      </w:r>
      <w:r w:rsidR="00F92825">
        <w:rPr>
          <w:rStyle w:val="cf01"/>
          <w:rFonts w:ascii="Arial" w:hAnsi="Arial" w:cs="Arial"/>
          <w:bCs/>
          <w:sz w:val="20"/>
          <w:szCs w:val="20"/>
        </w:rPr>
        <w:t xml:space="preserve"> της </w:t>
      </w:r>
      <w:r w:rsidR="00F92825">
        <w:rPr>
          <w:rStyle w:val="cf01"/>
          <w:rFonts w:ascii="Arial" w:hAnsi="Arial" w:cs="Arial"/>
          <w:bCs/>
          <w:sz w:val="20"/>
          <w:szCs w:val="20"/>
          <w:lang w:val="en-US"/>
        </w:rPr>
        <w:t>Eldorado</w:t>
      </w:r>
      <w:r w:rsidR="00F92825" w:rsidRPr="00F92825">
        <w:rPr>
          <w:rStyle w:val="cf01"/>
          <w:rFonts w:ascii="Arial" w:hAnsi="Arial" w:cs="Arial"/>
          <w:bCs/>
          <w:sz w:val="20"/>
          <w:szCs w:val="20"/>
        </w:rPr>
        <w:t xml:space="preserve"> </w:t>
      </w:r>
      <w:r w:rsidR="00F92825">
        <w:rPr>
          <w:rStyle w:val="cf01"/>
          <w:rFonts w:ascii="Arial" w:hAnsi="Arial" w:cs="Arial"/>
          <w:bCs/>
          <w:sz w:val="20"/>
          <w:szCs w:val="20"/>
          <w:lang w:val="en-US"/>
        </w:rPr>
        <w:t>Gold</w:t>
      </w:r>
      <w:r w:rsidR="00D7400D" w:rsidRPr="006C72E6">
        <w:rPr>
          <w:rStyle w:val="cf01"/>
          <w:rFonts w:ascii="Arial" w:hAnsi="Arial" w:cs="Arial"/>
          <w:bCs/>
          <w:sz w:val="20"/>
          <w:szCs w:val="20"/>
        </w:rPr>
        <w:t>. «</w:t>
      </w:r>
      <w:r w:rsidR="006E2D8B" w:rsidRPr="006C72E6">
        <w:rPr>
          <w:rFonts w:ascii="Arial" w:hAnsi="Arial" w:cs="Arial"/>
          <w:sz w:val="20"/>
          <w:szCs w:val="20"/>
        </w:rPr>
        <w:t xml:space="preserve">Οι Σκουριές θα </w:t>
      </w:r>
      <w:r w:rsidR="00F92825">
        <w:rPr>
          <w:rFonts w:ascii="Arial" w:hAnsi="Arial" w:cs="Arial"/>
          <w:sz w:val="20"/>
          <w:szCs w:val="20"/>
        </w:rPr>
        <w:t>διευρύνουν</w:t>
      </w:r>
      <w:r w:rsidR="006E2D8B" w:rsidRPr="006C72E6">
        <w:rPr>
          <w:rFonts w:ascii="Arial" w:hAnsi="Arial" w:cs="Arial"/>
          <w:sz w:val="20"/>
          <w:szCs w:val="20"/>
        </w:rPr>
        <w:t xml:space="preserve"> την επιχειρησιακή μας </w:t>
      </w:r>
      <w:r w:rsidR="00F92825">
        <w:rPr>
          <w:rFonts w:ascii="Arial" w:hAnsi="Arial" w:cs="Arial"/>
          <w:sz w:val="20"/>
          <w:szCs w:val="20"/>
        </w:rPr>
        <w:t>εμβέλεια</w:t>
      </w:r>
      <w:r w:rsidR="00B145AC">
        <w:rPr>
          <w:rFonts w:ascii="Arial" w:hAnsi="Arial" w:cs="Arial"/>
          <w:sz w:val="20"/>
          <w:szCs w:val="20"/>
        </w:rPr>
        <w:t xml:space="preserve"> και</w:t>
      </w:r>
      <w:r w:rsidR="00F92825">
        <w:rPr>
          <w:rFonts w:ascii="Arial" w:hAnsi="Arial" w:cs="Arial"/>
          <w:sz w:val="20"/>
          <w:szCs w:val="20"/>
        </w:rPr>
        <w:t xml:space="preserve"> θα ισχυροποιήσουν </w:t>
      </w:r>
      <w:r w:rsidR="00D15CB1">
        <w:rPr>
          <w:rFonts w:ascii="Arial" w:hAnsi="Arial" w:cs="Arial"/>
          <w:sz w:val="20"/>
          <w:szCs w:val="20"/>
        </w:rPr>
        <w:t>τη θέση</w:t>
      </w:r>
      <w:r w:rsidR="00F92825">
        <w:rPr>
          <w:rFonts w:ascii="Arial" w:hAnsi="Arial" w:cs="Arial"/>
          <w:sz w:val="20"/>
          <w:szCs w:val="20"/>
        </w:rPr>
        <w:t xml:space="preserve"> μας</w:t>
      </w:r>
      <w:r w:rsidR="006E2D8B" w:rsidRPr="006C72E6">
        <w:rPr>
          <w:rFonts w:ascii="Arial" w:hAnsi="Arial" w:cs="Arial"/>
          <w:sz w:val="20"/>
          <w:szCs w:val="20"/>
        </w:rPr>
        <w:t xml:space="preserve"> για </w:t>
      </w:r>
      <w:r w:rsidR="00162A42">
        <w:rPr>
          <w:rFonts w:ascii="Arial" w:hAnsi="Arial" w:cs="Arial"/>
          <w:sz w:val="20"/>
          <w:szCs w:val="20"/>
        </w:rPr>
        <w:t>μία βιώσιμη αναπτυξιακή πορεία</w:t>
      </w:r>
      <w:r w:rsidR="006E2D8B" w:rsidRPr="006C72E6">
        <w:rPr>
          <w:rFonts w:ascii="Arial" w:hAnsi="Arial" w:cs="Arial"/>
          <w:sz w:val="20"/>
          <w:szCs w:val="20"/>
        </w:rPr>
        <w:t xml:space="preserve"> και</w:t>
      </w:r>
      <w:r w:rsidR="00162A42">
        <w:rPr>
          <w:rFonts w:ascii="Arial" w:hAnsi="Arial" w:cs="Arial"/>
          <w:sz w:val="20"/>
          <w:szCs w:val="20"/>
        </w:rPr>
        <w:t xml:space="preserve"> τη δημιουργία</w:t>
      </w:r>
      <w:r w:rsidR="006E2D8B" w:rsidRPr="006C72E6">
        <w:rPr>
          <w:rFonts w:ascii="Arial" w:hAnsi="Arial" w:cs="Arial"/>
          <w:sz w:val="20"/>
          <w:szCs w:val="20"/>
        </w:rPr>
        <w:t xml:space="preserve"> μακροπρόθεσμη</w:t>
      </w:r>
      <w:r w:rsidR="00162A42">
        <w:rPr>
          <w:rFonts w:ascii="Arial" w:hAnsi="Arial" w:cs="Arial"/>
          <w:sz w:val="20"/>
          <w:szCs w:val="20"/>
        </w:rPr>
        <w:t>ς</w:t>
      </w:r>
      <w:r w:rsidR="006E2D8B" w:rsidRPr="006C72E6">
        <w:rPr>
          <w:rFonts w:ascii="Arial" w:hAnsi="Arial" w:cs="Arial"/>
          <w:sz w:val="20"/>
          <w:szCs w:val="20"/>
        </w:rPr>
        <w:t xml:space="preserve"> αξία</w:t>
      </w:r>
      <w:r w:rsidR="00162A42">
        <w:rPr>
          <w:rFonts w:ascii="Arial" w:hAnsi="Arial" w:cs="Arial"/>
          <w:sz w:val="20"/>
          <w:szCs w:val="20"/>
        </w:rPr>
        <w:t>ς</w:t>
      </w:r>
      <w:r w:rsidR="006E2D8B" w:rsidRPr="006C72E6">
        <w:rPr>
          <w:rFonts w:ascii="Arial" w:hAnsi="Arial" w:cs="Arial"/>
          <w:sz w:val="20"/>
          <w:szCs w:val="20"/>
        </w:rPr>
        <w:t xml:space="preserve">. </w:t>
      </w:r>
      <w:r w:rsidR="00B145AC">
        <w:rPr>
          <w:rFonts w:ascii="Arial" w:hAnsi="Arial" w:cs="Arial"/>
          <w:sz w:val="20"/>
          <w:szCs w:val="20"/>
        </w:rPr>
        <w:t>Συνεχίζουμε να λειτουργούμε</w:t>
      </w:r>
      <w:r w:rsidR="006E2D8B" w:rsidRPr="006C72E6">
        <w:rPr>
          <w:rFonts w:ascii="Arial" w:hAnsi="Arial" w:cs="Arial"/>
          <w:sz w:val="20"/>
          <w:szCs w:val="20"/>
        </w:rPr>
        <w:t xml:space="preserve"> </w:t>
      </w:r>
      <w:r w:rsidR="00F92825">
        <w:rPr>
          <w:rFonts w:ascii="Arial" w:hAnsi="Arial" w:cs="Arial"/>
          <w:sz w:val="20"/>
          <w:szCs w:val="20"/>
        </w:rPr>
        <w:t xml:space="preserve">με τρόπο </w:t>
      </w:r>
      <w:r w:rsidR="006E2D8B" w:rsidRPr="006C72E6">
        <w:rPr>
          <w:rFonts w:ascii="Arial" w:hAnsi="Arial" w:cs="Arial"/>
          <w:sz w:val="20"/>
          <w:szCs w:val="20"/>
        </w:rPr>
        <w:t>υπεύθυν</w:t>
      </w:r>
      <w:r w:rsidR="00F92825">
        <w:rPr>
          <w:rFonts w:ascii="Arial" w:hAnsi="Arial" w:cs="Arial"/>
          <w:sz w:val="20"/>
          <w:szCs w:val="20"/>
        </w:rPr>
        <w:t>ο</w:t>
      </w:r>
      <w:r w:rsidR="006E2D8B" w:rsidRPr="006C72E6">
        <w:rPr>
          <w:rFonts w:ascii="Arial" w:hAnsi="Arial" w:cs="Arial"/>
          <w:sz w:val="20"/>
          <w:szCs w:val="20"/>
        </w:rPr>
        <w:t xml:space="preserve"> και βιώσιμ</w:t>
      </w:r>
      <w:r w:rsidR="00F92825">
        <w:rPr>
          <w:rFonts w:ascii="Arial" w:hAnsi="Arial" w:cs="Arial"/>
          <w:sz w:val="20"/>
          <w:szCs w:val="20"/>
        </w:rPr>
        <w:t xml:space="preserve">ο </w:t>
      </w:r>
      <w:r w:rsidR="00852539">
        <w:rPr>
          <w:rFonts w:ascii="Arial" w:hAnsi="Arial" w:cs="Arial"/>
          <w:sz w:val="20"/>
          <w:szCs w:val="20"/>
        </w:rPr>
        <w:t>με</w:t>
      </w:r>
      <w:r w:rsidR="00D74230">
        <w:rPr>
          <w:rFonts w:ascii="Arial" w:hAnsi="Arial" w:cs="Arial"/>
          <w:sz w:val="20"/>
          <w:szCs w:val="20"/>
        </w:rPr>
        <w:t xml:space="preserve"> το έργο των Σκουριών </w:t>
      </w:r>
      <w:r w:rsidR="00852539">
        <w:rPr>
          <w:rFonts w:ascii="Arial" w:hAnsi="Arial" w:cs="Arial"/>
          <w:sz w:val="20"/>
          <w:szCs w:val="20"/>
        </w:rPr>
        <w:t>να συμβάλλει</w:t>
      </w:r>
      <w:r w:rsidR="006E2D8B" w:rsidRPr="006C72E6">
        <w:rPr>
          <w:rFonts w:ascii="Arial" w:hAnsi="Arial" w:cs="Arial"/>
          <w:sz w:val="20"/>
          <w:szCs w:val="20"/>
        </w:rPr>
        <w:t xml:space="preserve"> σημαντικά στην ελληνική οικονομία και τις τοπικές κοινωνίες, με εκατοντάδες θέσεις εργασίας και σημαντικές κοινωνικές επενδύσεις για τους </w:t>
      </w:r>
      <w:r w:rsidR="00F92825">
        <w:rPr>
          <w:rFonts w:ascii="Arial" w:hAnsi="Arial" w:cs="Arial"/>
          <w:sz w:val="20"/>
          <w:szCs w:val="20"/>
        </w:rPr>
        <w:t>κατοίκους</w:t>
      </w:r>
      <w:r w:rsidR="006E2D8B" w:rsidRPr="006C72E6">
        <w:rPr>
          <w:rFonts w:ascii="Arial" w:hAnsi="Arial" w:cs="Arial"/>
          <w:sz w:val="20"/>
          <w:szCs w:val="20"/>
        </w:rPr>
        <w:t xml:space="preserve"> του Δήμου Αριστοτέλη.</w:t>
      </w:r>
    </w:p>
    <w:p w14:paraId="135505D1" w14:textId="188CE716" w:rsidR="008213EA" w:rsidRPr="006C72E6" w:rsidRDefault="0002297D" w:rsidP="000B0999">
      <w:pPr>
        <w:jc w:val="both"/>
        <w:rPr>
          <w:rFonts w:ascii="Arial" w:hAnsi="Arial" w:cs="Arial"/>
          <w:sz w:val="20"/>
          <w:szCs w:val="20"/>
        </w:rPr>
      </w:pPr>
      <w:r w:rsidRPr="006C72E6">
        <w:rPr>
          <w:rFonts w:ascii="Arial" w:hAnsi="Arial" w:cs="Arial"/>
          <w:sz w:val="20"/>
          <w:szCs w:val="20"/>
        </w:rPr>
        <w:t xml:space="preserve">Η επικαιροποιημένη </w:t>
      </w:r>
      <w:r w:rsidR="00F92825">
        <w:rPr>
          <w:rFonts w:ascii="Arial" w:hAnsi="Arial" w:cs="Arial"/>
          <w:sz w:val="20"/>
          <w:szCs w:val="20"/>
        </w:rPr>
        <w:t>πρόβλεψη</w:t>
      </w:r>
      <w:r w:rsidRPr="006C72E6">
        <w:rPr>
          <w:rFonts w:ascii="Arial" w:hAnsi="Arial" w:cs="Arial"/>
          <w:sz w:val="20"/>
          <w:szCs w:val="20"/>
        </w:rPr>
        <w:t xml:space="preserve"> για την παραγωγή χρυσού το 2025 αναμένεται να είναι μεταξύ 460.000 και 500.000 ουγγιών. </w:t>
      </w:r>
      <w:r w:rsidR="00F92825">
        <w:rPr>
          <w:rFonts w:ascii="Arial" w:hAnsi="Arial" w:cs="Arial"/>
          <w:sz w:val="20"/>
          <w:szCs w:val="20"/>
        </w:rPr>
        <w:t>Η μείωση σε σχέση με</w:t>
      </w:r>
      <w:r w:rsidRPr="006C72E6">
        <w:rPr>
          <w:rFonts w:ascii="Arial" w:hAnsi="Arial" w:cs="Arial"/>
          <w:sz w:val="20"/>
          <w:szCs w:val="20"/>
        </w:rPr>
        <w:t xml:space="preserve"> τις προηγούμενες προβλέψεις μας </w:t>
      </w:r>
      <w:r w:rsidR="56AB2868" w:rsidRPr="6FC5D938">
        <w:rPr>
          <w:rFonts w:ascii="Arial" w:hAnsi="Arial" w:cs="Arial"/>
          <w:sz w:val="20"/>
          <w:szCs w:val="20"/>
        </w:rPr>
        <w:t xml:space="preserve">κατά το </w:t>
      </w:r>
      <w:r w:rsidRPr="006C72E6">
        <w:rPr>
          <w:rFonts w:ascii="Arial" w:hAnsi="Arial" w:cs="Arial"/>
          <w:sz w:val="20"/>
          <w:szCs w:val="20"/>
        </w:rPr>
        <w:t xml:space="preserve">2024 </w:t>
      </w:r>
      <w:r w:rsidR="00F92825">
        <w:rPr>
          <w:rFonts w:ascii="Arial" w:hAnsi="Arial" w:cs="Arial"/>
          <w:sz w:val="20"/>
          <w:szCs w:val="20"/>
        </w:rPr>
        <w:t>αφορά σ</w:t>
      </w:r>
      <w:r w:rsidRPr="006C72E6">
        <w:rPr>
          <w:rFonts w:ascii="Arial" w:hAnsi="Arial" w:cs="Arial"/>
          <w:sz w:val="20"/>
          <w:szCs w:val="20"/>
        </w:rPr>
        <w:t xml:space="preserve">τη μεταβολή της αρχικής παραγωγής στις Σκουριές από το τρίτο τρίμηνο του 2025 στο πρώτο τρίμηνο του 2026. Επιπλέον, </w:t>
      </w:r>
      <w:r w:rsidR="00F92825">
        <w:rPr>
          <w:rFonts w:ascii="Arial" w:hAnsi="Arial" w:cs="Arial"/>
          <w:sz w:val="20"/>
          <w:szCs w:val="20"/>
        </w:rPr>
        <w:t>υπάρχει μείωση και στην</w:t>
      </w:r>
      <w:r w:rsidRPr="006C72E6">
        <w:rPr>
          <w:rFonts w:ascii="Arial" w:hAnsi="Arial" w:cs="Arial"/>
          <w:sz w:val="20"/>
          <w:szCs w:val="20"/>
        </w:rPr>
        <w:t xml:space="preserve"> </w:t>
      </w:r>
      <w:r w:rsidR="00F92825">
        <w:rPr>
          <w:rFonts w:ascii="Arial" w:hAnsi="Arial" w:cs="Arial"/>
          <w:sz w:val="20"/>
          <w:szCs w:val="20"/>
        </w:rPr>
        <w:t>πρόβλεψή μας</w:t>
      </w:r>
      <w:r w:rsidRPr="006C72E6">
        <w:rPr>
          <w:rFonts w:ascii="Arial" w:hAnsi="Arial" w:cs="Arial"/>
          <w:sz w:val="20"/>
          <w:szCs w:val="20"/>
        </w:rPr>
        <w:t xml:space="preserve"> τόσο στο Kisladag όσο και στην </w:t>
      </w:r>
      <w:r w:rsidR="00F92825">
        <w:rPr>
          <w:rFonts w:ascii="Arial" w:hAnsi="Arial" w:cs="Arial"/>
          <w:sz w:val="20"/>
          <w:szCs w:val="20"/>
        </w:rPr>
        <w:t>Ολυμπιάδα</w:t>
      </w:r>
      <w:r w:rsidRPr="006C72E6">
        <w:rPr>
          <w:rFonts w:ascii="Arial" w:hAnsi="Arial" w:cs="Arial"/>
          <w:sz w:val="20"/>
          <w:szCs w:val="20"/>
        </w:rPr>
        <w:t xml:space="preserve">. Στο Kisladag, η αναμενόμενη παραγωγή έχει επηρεαστεί από </w:t>
      </w:r>
      <w:r w:rsidR="00CF296D" w:rsidRPr="006C72E6">
        <w:rPr>
          <w:rFonts w:ascii="Arial" w:hAnsi="Arial" w:cs="Arial"/>
          <w:sz w:val="20"/>
          <w:szCs w:val="20"/>
        </w:rPr>
        <w:t xml:space="preserve">μεγαλύτερους από τους προγραμματισμένους κύκλους </w:t>
      </w:r>
      <w:r w:rsidR="00CF296D">
        <w:rPr>
          <w:rFonts w:ascii="Arial" w:hAnsi="Arial" w:cs="Arial"/>
          <w:sz w:val="20"/>
          <w:szCs w:val="20"/>
        </w:rPr>
        <w:t>επεξεργασίας (</w:t>
      </w:r>
      <w:r w:rsidR="00CF296D" w:rsidRPr="006C72E6">
        <w:rPr>
          <w:rFonts w:ascii="Arial" w:hAnsi="Arial" w:cs="Arial"/>
          <w:sz w:val="20"/>
          <w:szCs w:val="20"/>
        </w:rPr>
        <w:t>έκπλυσης</w:t>
      </w:r>
      <w:r w:rsidR="00CF296D">
        <w:rPr>
          <w:rFonts w:ascii="Arial" w:hAnsi="Arial" w:cs="Arial"/>
          <w:sz w:val="20"/>
          <w:szCs w:val="20"/>
        </w:rPr>
        <w:t>)</w:t>
      </w:r>
      <w:r w:rsidR="00CF296D" w:rsidRPr="006C72E6">
        <w:rPr>
          <w:rFonts w:ascii="Arial" w:hAnsi="Arial" w:cs="Arial"/>
          <w:sz w:val="20"/>
          <w:szCs w:val="20"/>
        </w:rPr>
        <w:t xml:space="preserve"> </w:t>
      </w:r>
      <w:r w:rsidRPr="006C72E6">
        <w:rPr>
          <w:rFonts w:ascii="Arial" w:hAnsi="Arial" w:cs="Arial"/>
          <w:sz w:val="20"/>
          <w:szCs w:val="20"/>
        </w:rPr>
        <w:t>και χαμηλότερη</w:t>
      </w:r>
      <w:r w:rsidR="000D46BA">
        <w:rPr>
          <w:rFonts w:ascii="Arial" w:hAnsi="Arial" w:cs="Arial"/>
          <w:sz w:val="20"/>
          <w:szCs w:val="20"/>
        </w:rPr>
        <w:t xml:space="preserve"> περιεκτικότητα χρυσού στο</w:t>
      </w:r>
      <w:r w:rsidRPr="006C72E6">
        <w:rPr>
          <w:rFonts w:ascii="Arial" w:hAnsi="Arial" w:cs="Arial"/>
          <w:sz w:val="20"/>
          <w:szCs w:val="20"/>
        </w:rPr>
        <w:t xml:space="preserve"> </w:t>
      </w:r>
      <w:r w:rsidR="00F92825">
        <w:rPr>
          <w:rFonts w:ascii="Arial" w:hAnsi="Arial" w:cs="Arial"/>
          <w:sz w:val="20"/>
          <w:szCs w:val="20"/>
        </w:rPr>
        <w:t>μετάλλευμα</w:t>
      </w:r>
      <w:r w:rsidRPr="006C72E6">
        <w:rPr>
          <w:rFonts w:ascii="Arial" w:hAnsi="Arial" w:cs="Arial"/>
          <w:sz w:val="20"/>
          <w:szCs w:val="20"/>
        </w:rPr>
        <w:t>. Στην Ολυμπιάδα,</w:t>
      </w:r>
      <w:r w:rsidR="00F92825" w:rsidRPr="00F92825">
        <w:rPr>
          <w:rFonts w:ascii="Arial" w:hAnsi="Arial" w:cs="Arial"/>
          <w:sz w:val="20"/>
          <w:szCs w:val="20"/>
        </w:rPr>
        <w:t xml:space="preserve"> </w:t>
      </w:r>
      <w:r w:rsidR="00F92825">
        <w:rPr>
          <w:rFonts w:ascii="Arial" w:hAnsi="Arial" w:cs="Arial"/>
          <w:sz w:val="20"/>
          <w:szCs w:val="20"/>
        </w:rPr>
        <w:t>ο στόχος</w:t>
      </w:r>
      <w:r w:rsidRPr="006C72E6">
        <w:rPr>
          <w:rFonts w:ascii="Arial" w:hAnsi="Arial" w:cs="Arial"/>
          <w:sz w:val="20"/>
          <w:szCs w:val="20"/>
        </w:rPr>
        <w:t xml:space="preserve"> παραγωγής επηρεάστηκε από την καθυστέρηση στην </w:t>
      </w:r>
      <w:r w:rsidR="00F92825">
        <w:rPr>
          <w:rFonts w:ascii="Arial" w:hAnsi="Arial" w:cs="Arial"/>
          <w:sz w:val="20"/>
          <w:szCs w:val="20"/>
        </w:rPr>
        <w:t>αύξηση δυναμικότητας</w:t>
      </w:r>
      <w:r w:rsidRPr="006C72E6">
        <w:rPr>
          <w:rFonts w:ascii="Arial" w:hAnsi="Arial" w:cs="Arial"/>
          <w:sz w:val="20"/>
          <w:szCs w:val="20"/>
        </w:rPr>
        <w:t xml:space="preserve"> του μύλου</w:t>
      </w:r>
      <w:r w:rsidR="00F92825">
        <w:rPr>
          <w:rFonts w:ascii="Arial" w:hAnsi="Arial" w:cs="Arial"/>
          <w:sz w:val="20"/>
          <w:szCs w:val="20"/>
        </w:rPr>
        <w:t xml:space="preserve"> θραύσης</w:t>
      </w:r>
      <w:r w:rsidRPr="006C72E6">
        <w:rPr>
          <w:rFonts w:ascii="Arial" w:hAnsi="Arial" w:cs="Arial"/>
          <w:sz w:val="20"/>
          <w:szCs w:val="20"/>
        </w:rPr>
        <w:t xml:space="preserve"> </w:t>
      </w:r>
      <w:r w:rsidR="00F92825">
        <w:rPr>
          <w:rFonts w:ascii="Arial" w:hAnsi="Arial" w:cs="Arial"/>
          <w:sz w:val="20"/>
          <w:szCs w:val="20"/>
        </w:rPr>
        <w:t>σε</w:t>
      </w:r>
      <w:r w:rsidRPr="006C72E6">
        <w:rPr>
          <w:rFonts w:ascii="Arial" w:hAnsi="Arial" w:cs="Arial"/>
          <w:sz w:val="20"/>
          <w:szCs w:val="20"/>
        </w:rPr>
        <w:t xml:space="preserve"> 650 </w:t>
      </w:r>
      <w:r w:rsidR="00A83626">
        <w:rPr>
          <w:rFonts w:ascii="Arial" w:hAnsi="Arial" w:cs="Arial"/>
          <w:sz w:val="20"/>
          <w:szCs w:val="20"/>
        </w:rPr>
        <w:t xml:space="preserve">χιλιάδες </w:t>
      </w:r>
      <w:r w:rsidR="00F92825">
        <w:rPr>
          <w:rFonts w:ascii="Arial" w:hAnsi="Arial" w:cs="Arial"/>
          <w:sz w:val="20"/>
          <w:szCs w:val="20"/>
        </w:rPr>
        <w:t>τόνους/έτος</w:t>
      </w:r>
      <w:r w:rsidRPr="006C72E6">
        <w:rPr>
          <w:rFonts w:ascii="Arial" w:hAnsi="Arial" w:cs="Arial"/>
          <w:sz w:val="20"/>
          <w:szCs w:val="20"/>
        </w:rPr>
        <w:t xml:space="preserve"> και </w:t>
      </w:r>
      <w:r w:rsidRPr="38E8B21E">
        <w:rPr>
          <w:rFonts w:ascii="Arial" w:hAnsi="Arial" w:cs="Arial"/>
          <w:sz w:val="20"/>
          <w:szCs w:val="20"/>
        </w:rPr>
        <w:t>τη</w:t>
      </w:r>
      <w:r w:rsidR="0A580D8F" w:rsidRPr="38E8B21E">
        <w:rPr>
          <w:rFonts w:ascii="Arial" w:hAnsi="Arial" w:cs="Arial"/>
          <w:sz w:val="20"/>
          <w:szCs w:val="20"/>
        </w:rPr>
        <w:t>ν</w:t>
      </w:r>
      <w:r w:rsidR="00F92825">
        <w:rPr>
          <w:rFonts w:ascii="Arial" w:hAnsi="Arial" w:cs="Arial"/>
          <w:sz w:val="20"/>
          <w:szCs w:val="20"/>
        </w:rPr>
        <w:t xml:space="preserve"> </w:t>
      </w:r>
      <w:r w:rsidR="0A580D8F" w:rsidRPr="43D318AB">
        <w:rPr>
          <w:rFonts w:ascii="Arial" w:hAnsi="Arial" w:cs="Arial"/>
          <w:sz w:val="20"/>
          <w:szCs w:val="20"/>
        </w:rPr>
        <w:t>έκτακτη</w:t>
      </w:r>
      <w:r w:rsidR="00992A2D">
        <w:rPr>
          <w:rFonts w:ascii="Arial" w:hAnsi="Arial" w:cs="Arial"/>
          <w:sz w:val="20"/>
          <w:szCs w:val="20"/>
        </w:rPr>
        <w:t xml:space="preserve"> </w:t>
      </w:r>
      <w:r w:rsidRPr="006C72E6">
        <w:rPr>
          <w:rFonts w:ascii="Arial" w:hAnsi="Arial" w:cs="Arial"/>
          <w:sz w:val="20"/>
          <w:szCs w:val="20"/>
        </w:rPr>
        <w:t xml:space="preserve">συντήρηση των φίλτρων συμπυκνώματος χρυσού. </w:t>
      </w:r>
    </w:p>
    <w:p w14:paraId="78BBB617" w14:textId="77777777" w:rsidR="008213EA" w:rsidRPr="006C72E6" w:rsidRDefault="008213EA" w:rsidP="000B0999">
      <w:pPr>
        <w:jc w:val="both"/>
        <w:rPr>
          <w:rFonts w:ascii="Arial" w:hAnsi="Arial" w:cs="Arial"/>
          <w:sz w:val="20"/>
          <w:szCs w:val="20"/>
        </w:rPr>
      </w:pPr>
    </w:p>
    <w:p w14:paraId="5675626B" w14:textId="6E39D81D" w:rsidR="000B0999" w:rsidRPr="006C72E6" w:rsidRDefault="00B57E3C" w:rsidP="000B0999">
      <w:pPr>
        <w:jc w:val="both"/>
        <w:rPr>
          <w:rFonts w:ascii="Arial" w:hAnsi="Arial" w:cs="Arial"/>
          <w:sz w:val="20"/>
          <w:szCs w:val="22"/>
        </w:rPr>
      </w:pPr>
      <w:r w:rsidRPr="006C72E6">
        <w:rPr>
          <w:rFonts w:ascii="Arial" w:hAnsi="Arial" w:cs="Arial"/>
          <w:sz w:val="20"/>
          <w:szCs w:val="20"/>
        </w:rPr>
        <w:t xml:space="preserve">Το κόστος μας έχει αυξηθεί λόγω των μισθολογικών πιέσεων στην Τουρκία και το Κεμπέκ και των αυξημένων </w:t>
      </w:r>
      <w:r w:rsidR="00F92825">
        <w:rPr>
          <w:rFonts w:ascii="Arial" w:hAnsi="Arial" w:cs="Arial"/>
          <w:sz w:val="20"/>
          <w:szCs w:val="20"/>
        </w:rPr>
        <w:t xml:space="preserve">μεταλλευτικών </w:t>
      </w:r>
      <w:r w:rsidRPr="006C72E6">
        <w:rPr>
          <w:rFonts w:ascii="Arial" w:hAnsi="Arial" w:cs="Arial"/>
          <w:sz w:val="20"/>
          <w:szCs w:val="20"/>
        </w:rPr>
        <w:t xml:space="preserve">δικαιωμάτων </w:t>
      </w:r>
      <w:r w:rsidR="00F92825">
        <w:rPr>
          <w:rFonts w:ascii="Arial" w:hAnsi="Arial" w:cs="Arial"/>
          <w:sz w:val="20"/>
          <w:szCs w:val="20"/>
        </w:rPr>
        <w:t>διεθνώς</w:t>
      </w:r>
      <w:r w:rsidRPr="006C72E6">
        <w:rPr>
          <w:rFonts w:ascii="Arial" w:hAnsi="Arial" w:cs="Arial"/>
          <w:sz w:val="20"/>
          <w:szCs w:val="20"/>
        </w:rPr>
        <w:t xml:space="preserve"> λόγω της αναμενόμενης συνέχισης των υψηλότερων τιμών του χρυσού. Στην Τουρκία, η αύξηση οφείλεται κυρίως στο </w:t>
      </w:r>
      <w:r w:rsidR="000B0999" w:rsidRPr="006C72E6">
        <w:rPr>
          <w:rFonts w:ascii="Arial" w:hAnsi="Arial" w:cs="Arial"/>
          <w:sz w:val="20"/>
          <w:szCs w:val="22"/>
        </w:rPr>
        <w:t xml:space="preserve">γεγονός ότι ο πληθωρισμός δεν αντισταθμίζεται επί του παρόντος πλήρως από την υποτίμηση της λίρας έναντι του δολαρίου ΗΠΑ. Στο συγκρότημα Lamaque η αύξηση είναι κυρίως το αποτέλεσμα της μισθολογικής πίεσης από μια ανταγωνιστική αγορά εργασίας στο Κεμπέκ, </w:t>
      </w:r>
      <w:r w:rsidR="00F92825">
        <w:rPr>
          <w:rFonts w:ascii="Arial" w:hAnsi="Arial" w:cs="Arial"/>
          <w:sz w:val="20"/>
          <w:szCs w:val="22"/>
        </w:rPr>
        <w:t>καθώς και</w:t>
      </w:r>
      <w:r w:rsidR="000B0999" w:rsidRPr="006C72E6">
        <w:rPr>
          <w:rFonts w:ascii="Arial" w:hAnsi="Arial" w:cs="Arial"/>
          <w:sz w:val="20"/>
          <w:szCs w:val="22"/>
        </w:rPr>
        <w:t xml:space="preserve"> από τη χαμηλότερη </w:t>
      </w:r>
      <w:r w:rsidR="00740F17">
        <w:rPr>
          <w:rFonts w:ascii="Arial" w:hAnsi="Arial" w:cs="Arial"/>
          <w:sz w:val="20"/>
          <w:szCs w:val="22"/>
        </w:rPr>
        <w:t>περιεκτικότητα σε χρυσό</w:t>
      </w:r>
      <w:r w:rsidR="000B0999" w:rsidRPr="006C72E6">
        <w:rPr>
          <w:rFonts w:ascii="Arial" w:hAnsi="Arial" w:cs="Arial"/>
          <w:sz w:val="20"/>
          <w:szCs w:val="22"/>
        </w:rPr>
        <w:t xml:space="preserve"> </w:t>
      </w:r>
      <w:r w:rsidR="00FB7A6E">
        <w:rPr>
          <w:rFonts w:ascii="Arial" w:hAnsi="Arial" w:cs="Arial"/>
          <w:sz w:val="20"/>
          <w:szCs w:val="22"/>
        </w:rPr>
        <w:t>καθώς το μεταλλείο</w:t>
      </w:r>
      <w:r w:rsidR="000B0999" w:rsidRPr="006C72E6">
        <w:rPr>
          <w:rFonts w:ascii="Arial" w:hAnsi="Arial" w:cs="Arial"/>
          <w:sz w:val="20"/>
          <w:szCs w:val="22"/>
        </w:rPr>
        <w:t xml:space="preserve"> Triangle</w:t>
      </w:r>
      <w:r w:rsidR="00FB7A6E">
        <w:rPr>
          <w:rFonts w:ascii="Arial" w:hAnsi="Arial" w:cs="Arial"/>
          <w:sz w:val="20"/>
          <w:szCs w:val="22"/>
        </w:rPr>
        <w:t xml:space="preserve"> επεκτείνεται</w:t>
      </w:r>
      <w:r w:rsidR="00F92825">
        <w:rPr>
          <w:rFonts w:ascii="Arial" w:hAnsi="Arial" w:cs="Arial"/>
          <w:sz w:val="20"/>
          <w:szCs w:val="22"/>
        </w:rPr>
        <w:t>»</w:t>
      </w:r>
      <w:r w:rsidR="000B0999" w:rsidRPr="006C72E6">
        <w:rPr>
          <w:rFonts w:ascii="Arial" w:hAnsi="Arial" w:cs="Arial"/>
          <w:sz w:val="20"/>
          <w:szCs w:val="22"/>
        </w:rPr>
        <w:t>.</w:t>
      </w:r>
    </w:p>
    <w:p w14:paraId="5D9B1B1F" w14:textId="77777777" w:rsidR="009078C9" w:rsidRPr="006C72E6" w:rsidRDefault="009078C9" w:rsidP="000B0999">
      <w:pPr>
        <w:jc w:val="both"/>
        <w:rPr>
          <w:rFonts w:ascii="Arial" w:hAnsi="Arial" w:cs="Arial"/>
          <w:sz w:val="20"/>
          <w:szCs w:val="22"/>
        </w:rPr>
      </w:pPr>
    </w:p>
    <w:p w14:paraId="4BB6B27E" w14:textId="77777777" w:rsidR="00C813AB" w:rsidRDefault="00C813AB" w:rsidP="009078C9">
      <w:pPr>
        <w:spacing w:after="120"/>
        <w:jc w:val="both"/>
        <w:rPr>
          <w:rFonts w:ascii="Arial" w:hAnsi="Arial" w:cs="Arial"/>
          <w:b/>
          <w:bCs/>
          <w:sz w:val="20"/>
          <w:szCs w:val="20"/>
          <w:u w:val="single"/>
        </w:rPr>
      </w:pPr>
    </w:p>
    <w:p w14:paraId="3028BCFF" w14:textId="39F37405" w:rsidR="009078C9" w:rsidRPr="006C72E6" w:rsidRDefault="00F360B3" w:rsidP="009078C9">
      <w:pPr>
        <w:spacing w:after="120"/>
        <w:jc w:val="both"/>
        <w:rPr>
          <w:rFonts w:ascii="Arial" w:hAnsi="Arial" w:cs="Arial"/>
          <w:b/>
          <w:bCs/>
          <w:sz w:val="20"/>
          <w:szCs w:val="20"/>
          <w:u w:val="single"/>
        </w:rPr>
      </w:pPr>
      <w:r w:rsidRPr="006C72E6">
        <w:rPr>
          <w:rFonts w:ascii="Arial" w:hAnsi="Arial" w:cs="Arial"/>
          <w:b/>
          <w:bCs/>
          <w:sz w:val="20"/>
          <w:szCs w:val="20"/>
          <w:u w:val="single"/>
        </w:rPr>
        <w:t>Διακύμανση κόστους στις Σκουριές</w:t>
      </w:r>
    </w:p>
    <w:p w14:paraId="25E755CF" w14:textId="45E7C935" w:rsidR="009078C9" w:rsidRPr="006C72E6" w:rsidRDefault="009078C9" w:rsidP="00D63577">
      <w:pPr>
        <w:spacing w:after="120"/>
        <w:jc w:val="both"/>
        <w:rPr>
          <w:rFonts w:ascii="Arial" w:hAnsi="Arial" w:cs="Arial"/>
          <w:sz w:val="20"/>
          <w:szCs w:val="20"/>
        </w:rPr>
      </w:pPr>
      <w:r w:rsidRPr="006C72E6">
        <w:rPr>
          <w:rFonts w:ascii="Arial" w:hAnsi="Arial" w:cs="Arial"/>
          <w:sz w:val="20"/>
          <w:szCs w:val="20"/>
        </w:rPr>
        <w:t xml:space="preserve">Οι αναθεωρημένες εκτιμήσεις κόστους </w:t>
      </w:r>
      <w:r w:rsidR="00E20485">
        <w:rPr>
          <w:rFonts w:ascii="Arial" w:hAnsi="Arial" w:cs="Arial"/>
          <w:sz w:val="20"/>
          <w:szCs w:val="20"/>
        </w:rPr>
        <w:t>αφορούν σε</w:t>
      </w:r>
      <w:r w:rsidRPr="006C72E6">
        <w:rPr>
          <w:rFonts w:ascii="Arial" w:hAnsi="Arial" w:cs="Arial"/>
          <w:sz w:val="20"/>
          <w:szCs w:val="20"/>
        </w:rPr>
        <w:t xml:space="preserve"> </w:t>
      </w:r>
      <w:r w:rsidR="00E20485">
        <w:rPr>
          <w:rFonts w:ascii="Arial" w:hAnsi="Arial" w:cs="Arial"/>
          <w:sz w:val="20"/>
          <w:szCs w:val="20"/>
        </w:rPr>
        <w:t xml:space="preserve">έναρξη </w:t>
      </w:r>
      <w:r w:rsidRPr="006C72E6">
        <w:rPr>
          <w:rFonts w:ascii="Arial" w:hAnsi="Arial" w:cs="Arial"/>
          <w:sz w:val="20"/>
          <w:szCs w:val="20"/>
        </w:rPr>
        <w:t>εμπορική</w:t>
      </w:r>
      <w:r w:rsidR="00E20485">
        <w:rPr>
          <w:rFonts w:ascii="Arial" w:hAnsi="Arial" w:cs="Arial"/>
          <w:sz w:val="20"/>
          <w:szCs w:val="20"/>
        </w:rPr>
        <w:t>ς</w:t>
      </w:r>
      <w:r w:rsidRPr="006C72E6">
        <w:rPr>
          <w:rFonts w:ascii="Arial" w:hAnsi="Arial" w:cs="Arial"/>
          <w:sz w:val="20"/>
          <w:szCs w:val="20"/>
        </w:rPr>
        <w:t xml:space="preserve"> παραγωγή</w:t>
      </w:r>
      <w:r w:rsidR="00E20485">
        <w:rPr>
          <w:rFonts w:ascii="Arial" w:hAnsi="Arial" w:cs="Arial"/>
          <w:sz w:val="20"/>
          <w:szCs w:val="20"/>
        </w:rPr>
        <w:t>ς</w:t>
      </w:r>
      <w:r w:rsidRPr="006C72E6">
        <w:rPr>
          <w:rFonts w:ascii="Arial" w:hAnsi="Arial" w:cs="Arial"/>
          <w:sz w:val="20"/>
          <w:szCs w:val="20"/>
        </w:rPr>
        <w:t xml:space="preserve"> στα μέσα του 2026 με αποκλίσεις που κατανέμονται είτε στο </w:t>
      </w:r>
      <w:r w:rsidR="00C6521D">
        <w:rPr>
          <w:rFonts w:ascii="Arial" w:hAnsi="Arial" w:cs="Arial"/>
          <w:sz w:val="20"/>
          <w:szCs w:val="20"/>
        </w:rPr>
        <w:t>Κ</w:t>
      </w:r>
      <w:r w:rsidRPr="006C72E6">
        <w:rPr>
          <w:rFonts w:ascii="Arial" w:hAnsi="Arial" w:cs="Arial"/>
          <w:sz w:val="20"/>
          <w:szCs w:val="20"/>
        </w:rPr>
        <w:t xml:space="preserve">εφάλαιο </w:t>
      </w:r>
      <w:r w:rsidR="00597175">
        <w:rPr>
          <w:rFonts w:ascii="Arial" w:hAnsi="Arial" w:cs="Arial"/>
          <w:sz w:val="20"/>
          <w:szCs w:val="20"/>
        </w:rPr>
        <w:t>Έ</w:t>
      </w:r>
      <w:r w:rsidRPr="006C72E6">
        <w:rPr>
          <w:rFonts w:ascii="Arial" w:hAnsi="Arial" w:cs="Arial"/>
          <w:sz w:val="20"/>
          <w:szCs w:val="20"/>
        </w:rPr>
        <w:t xml:space="preserve">ργου είτε στο </w:t>
      </w:r>
      <w:r w:rsidR="00C6521D">
        <w:rPr>
          <w:rFonts w:ascii="Arial" w:hAnsi="Arial" w:cs="Arial"/>
          <w:sz w:val="20"/>
          <w:szCs w:val="20"/>
        </w:rPr>
        <w:t>Ε</w:t>
      </w:r>
      <w:r w:rsidR="00250390">
        <w:rPr>
          <w:rFonts w:ascii="Arial" w:hAnsi="Arial" w:cs="Arial"/>
          <w:sz w:val="20"/>
          <w:szCs w:val="20"/>
        </w:rPr>
        <w:t>πιταχυ</w:t>
      </w:r>
      <w:r w:rsidR="00C6521D">
        <w:rPr>
          <w:rFonts w:ascii="Arial" w:hAnsi="Arial" w:cs="Arial"/>
          <w:sz w:val="20"/>
          <w:szCs w:val="20"/>
        </w:rPr>
        <w:t>μέ</w:t>
      </w:r>
      <w:r w:rsidR="00250390">
        <w:rPr>
          <w:rFonts w:ascii="Arial" w:hAnsi="Arial" w:cs="Arial"/>
          <w:sz w:val="20"/>
          <w:szCs w:val="20"/>
        </w:rPr>
        <w:t xml:space="preserve">νο </w:t>
      </w:r>
      <w:r w:rsidR="00C6521D">
        <w:rPr>
          <w:rFonts w:ascii="Arial" w:hAnsi="Arial" w:cs="Arial"/>
          <w:sz w:val="20"/>
          <w:szCs w:val="20"/>
        </w:rPr>
        <w:t>Λ</w:t>
      </w:r>
      <w:r w:rsidR="00250390">
        <w:rPr>
          <w:rFonts w:ascii="Arial" w:hAnsi="Arial" w:cs="Arial"/>
          <w:sz w:val="20"/>
          <w:szCs w:val="20"/>
        </w:rPr>
        <w:t xml:space="preserve">ειτουργικό </w:t>
      </w:r>
      <w:r w:rsidR="00C6521D">
        <w:rPr>
          <w:rFonts w:ascii="Arial" w:hAnsi="Arial" w:cs="Arial"/>
          <w:sz w:val="20"/>
          <w:szCs w:val="20"/>
        </w:rPr>
        <w:t>Κ</w:t>
      </w:r>
      <w:r w:rsidR="00250390">
        <w:rPr>
          <w:rFonts w:ascii="Arial" w:hAnsi="Arial" w:cs="Arial"/>
          <w:sz w:val="20"/>
          <w:szCs w:val="20"/>
        </w:rPr>
        <w:t>εφάλαιο</w:t>
      </w:r>
      <w:r w:rsidRPr="006C72E6">
        <w:rPr>
          <w:rFonts w:ascii="Arial" w:hAnsi="Arial" w:cs="Arial"/>
          <w:sz w:val="20"/>
          <w:szCs w:val="20"/>
        </w:rPr>
        <w:t xml:space="preserve">. </w:t>
      </w:r>
    </w:p>
    <w:p w14:paraId="433E8AB1" w14:textId="76FBE15C" w:rsidR="00566D06" w:rsidRPr="006C72E6" w:rsidRDefault="00B607FB" w:rsidP="00865275">
      <w:pPr>
        <w:jc w:val="both"/>
        <w:rPr>
          <w:rFonts w:ascii="Arial" w:hAnsi="Arial" w:cs="Arial"/>
          <w:i/>
          <w:iCs/>
          <w:sz w:val="20"/>
          <w:szCs w:val="20"/>
        </w:rPr>
      </w:pPr>
      <w:r w:rsidRPr="006C72E6">
        <w:rPr>
          <w:rFonts w:ascii="Arial" w:hAnsi="Arial" w:cs="Arial"/>
          <w:i/>
          <w:iCs/>
          <w:sz w:val="20"/>
          <w:szCs w:val="20"/>
        </w:rPr>
        <w:t xml:space="preserve">Πίνακας 1. Έργο Σκουριές – Εκτιμήσεις Κόστους </w:t>
      </w:r>
      <w:r w:rsidR="00F43053">
        <w:rPr>
          <w:rFonts w:ascii="Arial" w:hAnsi="Arial" w:cs="Arial"/>
          <w:i/>
          <w:iCs/>
          <w:sz w:val="20"/>
          <w:szCs w:val="20"/>
        </w:rPr>
        <w:t>(εκατ. δολάρια ΗΠΑ</w:t>
      </w:r>
      <w:r w:rsidRPr="006C72E6">
        <w:rPr>
          <w:rFonts w:ascii="Arial" w:hAnsi="Arial" w:cs="Arial"/>
          <w:i/>
          <w:iCs/>
          <w:sz w:val="20"/>
          <w:szCs w:val="20"/>
        </w:rPr>
        <w:t>)</w:t>
      </w:r>
    </w:p>
    <w:tbl>
      <w:tblPr>
        <w:tblW w:w="10250" w:type="dxa"/>
        <w:tblLayout w:type="fixed"/>
        <w:tblCellMar>
          <w:left w:w="0" w:type="dxa"/>
          <w:right w:w="0" w:type="dxa"/>
        </w:tblCellMar>
        <w:tblLook w:val="04A0" w:firstRow="1" w:lastRow="0" w:firstColumn="1" w:lastColumn="0" w:noHBand="0" w:noVBand="1"/>
      </w:tblPr>
      <w:tblGrid>
        <w:gridCol w:w="2780"/>
        <w:gridCol w:w="1800"/>
        <w:gridCol w:w="1800"/>
        <w:gridCol w:w="2070"/>
        <w:gridCol w:w="1800"/>
      </w:tblGrid>
      <w:tr w:rsidR="00F43053" w:rsidRPr="006C72E6" w14:paraId="385A085E" w14:textId="77777777" w:rsidTr="00F43053">
        <w:trPr>
          <w:trHeight w:val="160"/>
        </w:trPr>
        <w:tc>
          <w:tcPr>
            <w:tcW w:w="2780" w:type="dxa"/>
            <w:tcBorders>
              <w:top w:val="single" w:sz="4" w:space="0" w:color="auto"/>
              <w:left w:val="single" w:sz="8" w:space="0" w:color="auto"/>
              <w:bottom w:val="single" w:sz="8" w:space="0" w:color="000000"/>
              <w:right w:val="single" w:sz="8" w:space="0" w:color="auto"/>
            </w:tcBorders>
            <w:shd w:val="clear" w:color="auto" w:fill="ECF8F0"/>
            <w:vAlign w:val="bottom"/>
            <w:hideMark/>
          </w:tcPr>
          <w:p w14:paraId="5D715528" w14:textId="574BE41E" w:rsidR="00F43053" w:rsidRPr="006C72E6" w:rsidRDefault="00F43053" w:rsidP="00F43053">
            <w:pPr>
              <w:jc w:val="center"/>
              <w:rPr>
                <w:rFonts w:ascii="Arial" w:hAnsi="Arial" w:cs="Arial"/>
                <w:b/>
                <w:bCs/>
                <w:color w:val="000000"/>
                <w:sz w:val="20"/>
                <w:szCs w:val="20"/>
              </w:rPr>
            </w:pPr>
            <w:r>
              <w:rPr>
                <w:rFonts w:ascii="Arial" w:hAnsi="Arial" w:cs="Arial"/>
                <w:b/>
                <w:bCs/>
                <w:color w:val="000000"/>
                <w:sz w:val="20"/>
                <w:szCs w:val="20"/>
              </w:rPr>
              <w:t>Κατηγορία</w:t>
            </w:r>
          </w:p>
        </w:tc>
        <w:tc>
          <w:tcPr>
            <w:tcW w:w="1800" w:type="dxa"/>
            <w:tcBorders>
              <w:top w:val="single" w:sz="4" w:space="0" w:color="auto"/>
              <w:left w:val="nil"/>
              <w:bottom w:val="single" w:sz="8" w:space="0" w:color="auto"/>
              <w:right w:val="single" w:sz="8" w:space="0" w:color="auto"/>
            </w:tcBorders>
            <w:shd w:val="clear" w:color="auto" w:fill="ECF8F0"/>
            <w:noWrap/>
            <w:vAlign w:val="bottom"/>
            <w:hideMark/>
          </w:tcPr>
          <w:p w14:paraId="5FDCD59E" w14:textId="76C6B269" w:rsidR="00F43053" w:rsidRPr="006C72E6" w:rsidRDefault="00F43053" w:rsidP="00F43053">
            <w:pPr>
              <w:jc w:val="center"/>
              <w:rPr>
                <w:rFonts w:ascii="Arial" w:hAnsi="Arial" w:cs="Arial"/>
                <w:b/>
                <w:bCs/>
                <w:color w:val="000000"/>
                <w:sz w:val="20"/>
                <w:szCs w:val="20"/>
              </w:rPr>
            </w:pPr>
            <w:r>
              <w:rPr>
                <w:rFonts w:ascii="Arial" w:hAnsi="Arial" w:cs="Arial"/>
                <w:b/>
                <w:bCs/>
                <w:color w:val="000000"/>
                <w:sz w:val="20"/>
                <w:szCs w:val="20"/>
              </w:rPr>
              <w:t>Προηγούμενη Εκτίμηση</w:t>
            </w:r>
          </w:p>
        </w:tc>
        <w:tc>
          <w:tcPr>
            <w:tcW w:w="1800" w:type="dxa"/>
            <w:tcBorders>
              <w:top w:val="single" w:sz="4" w:space="0" w:color="auto"/>
              <w:left w:val="nil"/>
              <w:bottom w:val="single" w:sz="8" w:space="0" w:color="auto"/>
              <w:right w:val="single" w:sz="8" w:space="0" w:color="auto"/>
            </w:tcBorders>
            <w:shd w:val="clear" w:color="auto" w:fill="ECF8F0"/>
            <w:noWrap/>
            <w:hideMark/>
          </w:tcPr>
          <w:p w14:paraId="35FBF26E" w14:textId="11297BEE" w:rsidR="00F43053" w:rsidRPr="006C72E6" w:rsidRDefault="00F43053" w:rsidP="00F43053">
            <w:pPr>
              <w:jc w:val="center"/>
              <w:rPr>
                <w:rFonts w:ascii="Arial" w:hAnsi="Arial" w:cs="Arial"/>
                <w:color w:val="000000"/>
                <w:sz w:val="20"/>
                <w:szCs w:val="20"/>
              </w:rPr>
            </w:pPr>
            <w:r>
              <w:rPr>
                <w:rFonts w:ascii="Arial" w:hAnsi="Arial" w:cs="Arial"/>
                <w:b/>
                <w:bCs/>
                <w:color w:val="000000"/>
                <w:sz w:val="20"/>
                <w:szCs w:val="20"/>
              </w:rPr>
              <w:t>Αναθεωρημένη</w:t>
            </w:r>
            <w:r w:rsidRPr="002360CA">
              <w:rPr>
                <w:rFonts w:ascii="Arial" w:hAnsi="Arial" w:cs="Arial"/>
                <w:b/>
                <w:bCs/>
                <w:color w:val="000000"/>
                <w:sz w:val="20"/>
                <w:szCs w:val="20"/>
              </w:rPr>
              <w:t xml:space="preserve"> Εκτίμηση</w:t>
            </w:r>
          </w:p>
        </w:tc>
        <w:tc>
          <w:tcPr>
            <w:tcW w:w="2070" w:type="dxa"/>
            <w:tcBorders>
              <w:top w:val="single" w:sz="4" w:space="0" w:color="auto"/>
              <w:left w:val="nil"/>
              <w:bottom w:val="single" w:sz="8" w:space="0" w:color="auto"/>
              <w:right w:val="single" w:sz="8" w:space="0" w:color="auto"/>
            </w:tcBorders>
            <w:shd w:val="clear" w:color="auto" w:fill="ECF8F0"/>
            <w:noWrap/>
            <w:vAlign w:val="bottom"/>
            <w:hideMark/>
          </w:tcPr>
          <w:p w14:paraId="1D902C3F" w14:textId="339F5258" w:rsidR="00F43053" w:rsidRPr="006C72E6" w:rsidRDefault="00F43053" w:rsidP="00F43053">
            <w:pPr>
              <w:jc w:val="center"/>
              <w:rPr>
                <w:rFonts w:ascii="Arial" w:hAnsi="Arial" w:cs="Arial"/>
                <w:color w:val="000000"/>
                <w:sz w:val="20"/>
                <w:szCs w:val="20"/>
              </w:rPr>
            </w:pPr>
            <w:r>
              <w:rPr>
                <w:rFonts w:ascii="Arial" w:hAnsi="Arial" w:cs="Arial"/>
                <w:b/>
                <w:bCs/>
                <w:color w:val="000000"/>
                <w:sz w:val="20"/>
                <w:szCs w:val="20"/>
              </w:rPr>
              <w:t>Υλοποιήθηκε</w:t>
            </w:r>
            <w:r>
              <w:rPr>
                <w:rFonts w:ascii="Arial" w:hAnsi="Arial" w:cs="Arial"/>
                <w:b/>
                <w:bCs/>
                <w:color w:val="000000"/>
                <w:sz w:val="20"/>
                <w:szCs w:val="20"/>
              </w:rPr>
              <w:br/>
            </w:r>
            <w:r w:rsidRPr="006C72E6">
              <w:rPr>
                <w:rFonts w:ascii="Arial" w:hAnsi="Arial" w:cs="Arial"/>
                <w:color w:val="000000"/>
                <w:sz w:val="20"/>
                <w:szCs w:val="20"/>
              </w:rPr>
              <w:t>(Δεκ-31-24)</w:t>
            </w:r>
          </w:p>
        </w:tc>
        <w:tc>
          <w:tcPr>
            <w:tcW w:w="1800" w:type="dxa"/>
            <w:tcBorders>
              <w:top w:val="single" w:sz="4" w:space="0" w:color="auto"/>
              <w:left w:val="nil"/>
              <w:bottom w:val="single" w:sz="8" w:space="0" w:color="auto"/>
              <w:right w:val="single" w:sz="8" w:space="0" w:color="auto"/>
            </w:tcBorders>
            <w:shd w:val="clear" w:color="auto" w:fill="ECF8F0"/>
            <w:noWrap/>
            <w:vAlign w:val="bottom"/>
            <w:hideMark/>
          </w:tcPr>
          <w:p w14:paraId="3EFE2EE6" w14:textId="24E9B79A" w:rsidR="00F43053" w:rsidRPr="006C72E6" w:rsidRDefault="00F43053" w:rsidP="00F43053">
            <w:pPr>
              <w:jc w:val="center"/>
              <w:rPr>
                <w:rFonts w:ascii="Arial" w:hAnsi="Arial" w:cs="Arial"/>
                <w:b/>
                <w:bCs/>
                <w:color w:val="000000"/>
                <w:sz w:val="20"/>
                <w:szCs w:val="20"/>
              </w:rPr>
            </w:pPr>
            <w:r w:rsidRPr="006C72E6">
              <w:rPr>
                <w:rFonts w:ascii="Arial" w:hAnsi="Arial" w:cs="Arial"/>
                <w:b/>
                <w:bCs/>
                <w:color w:val="000000"/>
                <w:sz w:val="20"/>
                <w:szCs w:val="20"/>
              </w:rPr>
              <w:t>Υπόλοιπ</w:t>
            </w:r>
            <w:r>
              <w:rPr>
                <w:rFonts w:ascii="Arial" w:hAnsi="Arial" w:cs="Arial"/>
                <w:b/>
                <w:bCs/>
                <w:color w:val="000000"/>
                <w:sz w:val="20"/>
                <w:szCs w:val="20"/>
              </w:rPr>
              <w:t>ο</w:t>
            </w:r>
            <w:r w:rsidRPr="006C72E6">
              <w:rPr>
                <w:rFonts w:ascii="Arial" w:hAnsi="Arial" w:cs="Arial"/>
                <w:color w:val="000000"/>
                <w:sz w:val="20"/>
                <w:szCs w:val="20"/>
              </w:rPr>
              <w:t xml:space="preserve"> </w:t>
            </w:r>
            <w:r>
              <w:rPr>
                <w:rFonts w:ascii="Arial" w:hAnsi="Arial" w:cs="Arial"/>
                <w:color w:val="000000"/>
                <w:sz w:val="20"/>
                <w:szCs w:val="20"/>
              </w:rPr>
              <w:br/>
            </w:r>
            <w:r w:rsidRPr="006C72E6">
              <w:rPr>
                <w:rFonts w:ascii="Arial" w:hAnsi="Arial" w:cs="Arial"/>
                <w:color w:val="000000"/>
                <w:sz w:val="20"/>
                <w:szCs w:val="20"/>
              </w:rPr>
              <w:t>(Δεκ-31-24)</w:t>
            </w:r>
          </w:p>
        </w:tc>
      </w:tr>
      <w:tr w:rsidR="001915D5" w:rsidRPr="006C72E6" w14:paraId="6CBF3385" w14:textId="77777777" w:rsidTr="00F43053">
        <w:trPr>
          <w:trHeight w:val="302"/>
        </w:trPr>
        <w:tc>
          <w:tcPr>
            <w:tcW w:w="2780" w:type="dxa"/>
            <w:tcBorders>
              <w:top w:val="nil"/>
              <w:left w:val="single" w:sz="8" w:space="0" w:color="auto"/>
              <w:bottom w:val="single" w:sz="4" w:space="0" w:color="auto"/>
              <w:right w:val="single" w:sz="8" w:space="0" w:color="auto"/>
            </w:tcBorders>
            <w:shd w:val="clear" w:color="auto" w:fill="auto"/>
            <w:noWrap/>
            <w:vAlign w:val="bottom"/>
            <w:hideMark/>
          </w:tcPr>
          <w:p w14:paraId="70FFDDAE" w14:textId="25762AEF" w:rsidR="001915D5" w:rsidRPr="006C72E6" w:rsidRDefault="001915D5" w:rsidP="001915D5">
            <w:pPr>
              <w:jc w:val="center"/>
              <w:rPr>
                <w:rFonts w:ascii="Arial" w:hAnsi="Arial" w:cs="Arial"/>
                <w:color w:val="000000"/>
                <w:sz w:val="20"/>
                <w:szCs w:val="20"/>
              </w:rPr>
            </w:pPr>
            <w:r w:rsidRPr="006C72E6">
              <w:rPr>
                <w:rFonts w:ascii="Arial" w:hAnsi="Arial" w:cs="Arial"/>
                <w:color w:val="000000"/>
                <w:sz w:val="20"/>
                <w:szCs w:val="20"/>
              </w:rPr>
              <w:t xml:space="preserve">Κεφάλαιο </w:t>
            </w:r>
            <w:r>
              <w:rPr>
                <w:rFonts w:ascii="Arial" w:hAnsi="Arial" w:cs="Arial"/>
                <w:color w:val="000000"/>
                <w:sz w:val="20"/>
                <w:szCs w:val="20"/>
              </w:rPr>
              <w:t>Έ</w:t>
            </w:r>
            <w:r w:rsidRPr="006C72E6">
              <w:rPr>
                <w:rFonts w:ascii="Arial" w:hAnsi="Arial" w:cs="Arial"/>
                <w:color w:val="000000"/>
                <w:sz w:val="20"/>
                <w:szCs w:val="20"/>
              </w:rPr>
              <w:t>ργου</w:t>
            </w:r>
          </w:p>
        </w:tc>
        <w:tc>
          <w:tcPr>
            <w:tcW w:w="1800" w:type="dxa"/>
            <w:tcBorders>
              <w:top w:val="nil"/>
              <w:left w:val="nil"/>
              <w:bottom w:val="single" w:sz="4" w:space="0" w:color="auto"/>
              <w:right w:val="single" w:sz="8" w:space="0" w:color="auto"/>
            </w:tcBorders>
            <w:shd w:val="clear" w:color="auto" w:fill="auto"/>
            <w:noWrap/>
            <w:vAlign w:val="center"/>
            <w:hideMark/>
          </w:tcPr>
          <w:p w14:paraId="22E84CC1" w14:textId="7524BDC8" w:rsidR="001915D5" w:rsidRPr="006C72E6" w:rsidRDefault="001915D5" w:rsidP="001915D5">
            <w:pPr>
              <w:jc w:val="center"/>
              <w:rPr>
                <w:rFonts w:ascii="Arial" w:hAnsi="Arial" w:cs="Arial"/>
                <w:color w:val="000000"/>
                <w:sz w:val="20"/>
                <w:szCs w:val="20"/>
              </w:rPr>
            </w:pPr>
            <w:r w:rsidRPr="00C62470">
              <w:rPr>
                <w:rFonts w:ascii="Arial" w:hAnsi="Arial" w:cs="Arial"/>
                <w:color w:val="000000"/>
                <w:sz w:val="20"/>
                <w:szCs w:val="20"/>
              </w:rPr>
              <w:t>920</w:t>
            </w:r>
          </w:p>
        </w:tc>
        <w:tc>
          <w:tcPr>
            <w:tcW w:w="1800" w:type="dxa"/>
            <w:tcBorders>
              <w:top w:val="nil"/>
              <w:left w:val="nil"/>
              <w:bottom w:val="single" w:sz="4" w:space="0" w:color="auto"/>
              <w:right w:val="single" w:sz="8" w:space="0" w:color="auto"/>
            </w:tcBorders>
            <w:shd w:val="clear" w:color="auto" w:fill="auto"/>
            <w:noWrap/>
            <w:vAlign w:val="center"/>
            <w:hideMark/>
          </w:tcPr>
          <w:p w14:paraId="44D55B5C" w14:textId="763D8F33" w:rsidR="001915D5" w:rsidRPr="006C72E6" w:rsidRDefault="001915D5" w:rsidP="001915D5">
            <w:pPr>
              <w:jc w:val="center"/>
              <w:rPr>
                <w:rFonts w:ascii="Arial" w:hAnsi="Arial" w:cs="Arial"/>
                <w:color w:val="000000"/>
                <w:sz w:val="20"/>
                <w:szCs w:val="20"/>
              </w:rPr>
            </w:pPr>
            <w:r w:rsidRPr="00C62470">
              <w:rPr>
                <w:rFonts w:ascii="Arial" w:hAnsi="Arial" w:cs="Arial"/>
                <w:color w:val="000000"/>
                <w:sz w:val="20"/>
                <w:szCs w:val="20"/>
              </w:rPr>
              <w:t>1,0</w:t>
            </w:r>
            <w:r>
              <w:rPr>
                <w:rFonts w:ascii="Arial" w:hAnsi="Arial" w:cs="Arial"/>
                <w:color w:val="000000"/>
                <w:sz w:val="20"/>
                <w:szCs w:val="20"/>
              </w:rPr>
              <w:t>6</w:t>
            </w:r>
            <w:r w:rsidRPr="00C62470">
              <w:rPr>
                <w:rFonts w:ascii="Arial" w:hAnsi="Arial" w:cs="Arial"/>
                <w:color w:val="000000"/>
                <w:sz w:val="20"/>
                <w:szCs w:val="20"/>
              </w:rPr>
              <w:t>3</w:t>
            </w:r>
          </w:p>
        </w:tc>
        <w:tc>
          <w:tcPr>
            <w:tcW w:w="2070" w:type="dxa"/>
            <w:tcBorders>
              <w:top w:val="nil"/>
              <w:left w:val="nil"/>
              <w:bottom w:val="single" w:sz="4" w:space="0" w:color="auto"/>
              <w:right w:val="single" w:sz="8" w:space="0" w:color="auto"/>
            </w:tcBorders>
            <w:shd w:val="clear" w:color="auto" w:fill="auto"/>
            <w:noWrap/>
            <w:vAlign w:val="center"/>
            <w:hideMark/>
          </w:tcPr>
          <w:p w14:paraId="481EAAB1" w14:textId="6088C82E" w:rsidR="001915D5" w:rsidRPr="006C72E6" w:rsidRDefault="001915D5" w:rsidP="001915D5">
            <w:pPr>
              <w:jc w:val="center"/>
              <w:rPr>
                <w:rFonts w:ascii="Arial" w:hAnsi="Arial" w:cs="Arial"/>
                <w:color w:val="000000"/>
                <w:sz w:val="20"/>
                <w:szCs w:val="20"/>
              </w:rPr>
            </w:pPr>
            <w:r w:rsidRPr="00B722EE">
              <w:rPr>
                <w:rFonts w:ascii="Arial" w:hAnsi="Arial" w:cs="Arial"/>
                <w:color w:val="000000"/>
                <w:sz w:val="20"/>
                <w:szCs w:val="20"/>
              </w:rPr>
              <w:t>50</w:t>
            </w:r>
            <w:r>
              <w:rPr>
                <w:rFonts w:ascii="Arial" w:hAnsi="Arial" w:cs="Arial"/>
                <w:color w:val="000000"/>
                <w:sz w:val="20"/>
                <w:szCs w:val="20"/>
              </w:rPr>
              <w:t>5</w:t>
            </w:r>
          </w:p>
        </w:tc>
        <w:tc>
          <w:tcPr>
            <w:tcW w:w="1800" w:type="dxa"/>
            <w:tcBorders>
              <w:top w:val="nil"/>
              <w:left w:val="nil"/>
              <w:bottom w:val="single" w:sz="4" w:space="0" w:color="auto"/>
              <w:right w:val="single" w:sz="8" w:space="0" w:color="auto"/>
            </w:tcBorders>
            <w:shd w:val="clear" w:color="auto" w:fill="auto"/>
            <w:noWrap/>
            <w:vAlign w:val="center"/>
            <w:hideMark/>
          </w:tcPr>
          <w:p w14:paraId="5B873312" w14:textId="6BD7F55E" w:rsidR="001915D5" w:rsidRPr="006C72E6" w:rsidRDefault="001915D5" w:rsidP="001915D5">
            <w:pPr>
              <w:jc w:val="center"/>
              <w:rPr>
                <w:rFonts w:ascii="Arial" w:hAnsi="Arial" w:cs="Arial"/>
                <w:color w:val="000000"/>
                <w:sz w:val="20"/>
                <w:szCs w:val="20"/>
              </w:rPr>
            </w:pPr>
            <w:r w:rsidRPr="00C62470">
              <w:rPr>
                <w:rFonts w:ascii="Arial" w:hAnsi="Arial" w:cs="Arial"/>
                <w:color w:val="000000"/>
                <w:sz w:val="20"/>
                <w:szCs w:val="20"/>
              </w:rPr>
              <w:t>5</w:t>
            </w:r>
            <w:r>
              <w:rPr>
                <w:rFonts w:ascii="Arial" w:hAnsi="Arial" w:cs="Arial"/>
                <w:color w:val="000000"/>
                <w:sz w:val="20"/>
                <w:szCs w:val="20"/>
              </w:rPr>
              <w:t>58</w:t>
            </w:r>
          </w:p>
        </w:tc>
      </w:tr>
      <w:tr w:rsidR="001915D5" w:rsidRPr="006C72E6" w14:paraId="21995072" w14:textId="77777777" w:rsidTr="00F43053">
        <w:trPr>
          <w:trHeight w:val="302"/>
        </w:trPr>
        <w:tc>
          <w:tcPr>
            <w:tcW w:w="27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E286A6D" w14:textId="2B3986DC" w:rsidR="001915D5" w:rsidRPr="006C72E6" w:rsidRDefault="00C6521D" w:rsidP="001915D5">
            <w:pPr>
              <w:jc w:val="center"/>
              <w:rPr>
                <w:rFonts w:ascii="Arial" w:hAnsi="Arial" w:cs="Arial"/>
                <w:color w:val="000000"/>
                <w:sz w:val="20"/>
                <w:szCs w:val="20"/>
              </w:rPr>
            </w:pPr>
            <w:r>
              <w:rPr>
                <w:rFonts w:ascii="Arial" w:hAnsi="Arial" w:cs="Arial"/>
                <w:sz w:val="20"/>
                <w:szCs w:val="20"/>
              </w:rPr>
              <w:t>Επιταχυμένο Λειτουργικό Κεφάλαιο</w:t>
            </w:r>
            <w:r>
              <w:rPr>
                <w:rFonts w:ascii="Arial" w:hAnsi="Arial" w:cs="Arial"/>
                <w:color w:val="000000"/>
                <w:sz w:val="20"/>
                <w:szCs w:val="20"/>
              </w:rPr>
              <w:t xml:space="preserve"> </w:t>
            </w:r>
          </w:p>
        </w:tc>
        <w:tc>
          <w:tcPr>
            <w:tcW w:w="1800" w:type="dxa"/>
            <w:tcBorders>
              <w:top w:val="single" w:sz="4" w:space="0" w:color="auto"/>
              <w:left w:val="nil"/>
              <w:bottom w:val="single" w:sz="4" w:space="0" w:color="auto"/>
              <w:right w:val="single" w:sz="8" w:space="0" w:color="auto"/>
            </w:tcBorders>
            <w:shd w:val="clear" w:color="auto" w:fill="auto"/>
            <w:noWrap/>
            <w:vAlign w:val="center"/>
            <w:hideMark/>
          </w:tcPr>
          <w:p w14:paraId="6F87D433" w14:textId="5F6F3768" w:rsidR="001915D5" w:rsidRPr="006C72E6" w:rsidRDefault="001915D5" w:rsidP="001915D5">
            <w:pPr>
              <w:jc w:val="center"/>
              <w:rPr>
                <w:rFonts w:ascii="Arial" w:hAnsi="Arial" w:cs="Arial"/>
                <w:color w:val="000000"/>
                <w:sz w:val="20"/>
                <w:szCs w:val="20"/>
              </w:rPr>
            </w:pPr>
            <w:r w:rsidRPr="00C62470">
              <w:rPr>
                <w:rFonts w:ascii="Arial" w:hAnsi="Arial" w:cs="Arial"/>
                <w:color w:val="000000"/>
                <w:sz w:val="20"/>
                <w:szCs w:val="20"/>
              </w:rPr>
              <w:t>0</w:t>
            </w:r>
          </w:p>
        </w:tc>
        <w:tc>
          <w:tcPr>
            <w:tcW w:w="1800" w:type="dxa"/>
            <w:tcBorders>
              <w:top w:val="single" w:sz="4" w:space="0" w:color="auto"/>
              <w:left w:val="nil"/>
              <w:bottom w:val="single" w:sz="4" w:space="0" w:color="auto"/>
              <w:right w:val="single" w:sz="8" w:space="0" w:color="auto"/>
            </w:tcBorders>
            <w:shd w:val="clear" w:color="auto" w:fill="auto"/>
            <w:noWrap/>
            <w:vAlign w:val="center"/>
            <w:hideMark/>
          </w:tcPr>
          <w:p w14:paraId="48E4AB6D" w14:textId="7A7470E3" w:rsidR="001915D5" w:rsidRPr="006C72E6" w:rsidRDefault="001915D5" w:rsidP="001915D5">
            <w:pPr>
              <w:jc w:val="center"/>
              <w:rPr>
                <w:rFonts w:ascii="Arial" w:hAnsi="Arial" w:cs="Arial"/>
                <w:color w:val="000000"/>
                <w:sz w:val="20"/>
                <w:szCs w:val="20"/>
              </w:rPr>
            </w:pPr>
            <w:r w:rsidRPr="00C62470">
              <w:rPr>
                <w:rFonts w:ascii="Arial" w:hAnsi="Arial" w:cs="Arial"/>
                <w:color w:val="000000"/>
                <w:sz w:val="20"/>
                <w:szCs w:val="20"/>
              </w:rPr>
              <w:t>1</w:t>
            </w:r>
            <w:r>
              <w:rPr>
                <w:rFonts w:ascii="Arial" w:hAnsi="Arial" w:cs="Arial"/>
                <w:color w:val="000000"/>
                <w:sz w:val="20"/>
                <w:szCs w:val="20"/>
              </w:rPr>
              <w:t>54</w:t>
            </w:r>
          </w:p>
        </w:tc>
        <w:tc>
          <w:tcPr>
            <w:tcW w:w="2070" w:type="dxa"/>
            <w:tcBorders>
              <w:top w:val="single" w:sz="4" w:space="0" w:color="auto"/>
              <w:left w:val="nil"/>
              <w:bottom w:val="single" w:sz="4" w:space="0" w:color="auto"/>
              <w:right w:val="single" w:sz="8" w:space="0" w:color="auto"/>
            </w:tcBorders>
            <w:shd w:val="clear" w:color="auto" w:fill="auto"/>
            <w:noWrap/>
            <w:vAlign w:val="center"/>
            <w:hideMark/>
          </w:tcPr>
          <w:p w14:paraId="07915B07" w14:textId="601BAF0C" w:rsidR="001915D5" w:rsidRPr="006C72E6" w:rsidRDefault="001915D5" w:rsidP="001915D5">
            <w:pPr>
              <w:jc w:val="center"/>
              <w:rPr>
                <w:rFonts w:ascii="Arial" w:hAnsi="Arial" w:cs="Arial"/>
                <w:color w:val="000000"/>
                <w:sz w:val="20"/>
                <w:szCs w:val="20"/>
              </w:rPr>
            </w:pPr>
            <w:r>
              <w:rPr>
                <w:rFonts w:ascii="Arial" w:hAnsi="Arial" w:cs="Arial"/>
                <w:color w:val="000000"/>
                <w:sz w:val="20"/>
                <w:szCs w:val="20"/>
              </w:rPr>
              <w:t>7</w:t>
            </w:r>
          </w:p>
        </w:tc>
        <w:tc>
          <w:tcPr>
            <w:tcW w:w="1800" w:type="dxa"/>
            <w:tcBorders>
              <w:top w:val="single" w:sz="4" w:space="0" w:color="auto"/>
              <w:left w:val="nil"/>
              <w:bottom w:val="single" w:sz="4" w:space="0" w:color="auto"/>
              <w:right w:val="single" w:sz="8" w:space="0" w:color="auto"/>
            </w:tcBorders>
            <w:shd w:val="clear" w:color="auto" w:fill="auto"/>
            <w:noWrap/>
            <w:vAlign w:val="center"/>
            <w:hideMark/>
          </w:tcPr>
          <w:p w14:paraId="6E5DDAA1" w14:textId="0D0FAA40" w:rsidR="001915D5" w:rsidRPr="006C72E6" w:rsidRDefault="001915D5" w:rsidP="001915D5">
            <w:pPr>
              <w:jc w:val="center"/>
              <w:rPr>
                <w:rFonts w:ascii="Arial" w:hAnsi="Arial" w:cs="Arial"/>
                <w:color w:val="000000"/>
                <w:sz w:val="20"/>
                <w:szCs w:val="20"/>
              </w:rPr>
            </w:pPr>
            <w:r w:rsidRPr="00C62470">
              <w:rPr>
                <w:rFonts w:ascii="Arial" w:hAnsi="Arial" w:cs="Arial"/>
                <w:color w:val="000000"/>
                <w:sz w:val="20"/>
                <w:szCs w:val="20"/>
              </w:rPr>
              <w:t>1</w:t>
            </w:r>
            <w:r>
              <w:rPr>
                <w:rFonts w:ascii="Arial" w:hAnsi="Arial" w:cs="Arial"/>
                <w:color w:val="000000"/>
                <w:sz w:val="20"/>
                <w:szCs w:val="20"/>
              </w:rPr>
              <w:t>4</w:t>
            </w:r>
            <w:r w:rsidRPr="00C62470">
              <w:rPr>
                <w:rFonts w:ascii="Arial" w:hAnsi="Arial" w:cs="Arial"/>
                <w:color w:val="000000"/>
                <w:sz w:val="20"/>
                <w:szCs w:val="20"/>
              </w:rPr>
              <w:t>7</w:t>
            </w:r>
          </w:p>
        </w:tc>
      </w:tr>
      <w:tr w:rsidR="001915D5" w:rsidRPr="006C72E6" w14:paraId="64E8A9CD" w14:textId="77777777" w:rsidTr="00F43053">
        <w:trPr>
          <w:trHeight w:val="302"/>
        </w:trPr>
        <w:tc>
          <w:tcPr>
            <w:tcW w:w="278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1AFE5EE" w14:textId="52D70206" w:rsidR="001915D5" w:rsidRPr="006C72E6" w:rsidRDefault="001915D5" w:rsidP="001915D5">
            <w:pPr>
              <w:jc w:val="center"/>
              <w:rPr>
                <w:rFonts w:ascii="Arial" w:hAnsi="Arial" w:cs="Arial"/>
                <w:b/>
                <w:bCs/>
                <w:color w:val="000000"/>
                <w:sz w:val="20"/>
                <w:szCs w:val="20"/>
              </w:rPr>
            </w:pPr>
            <w:r w:rsidRPr="006C72E6">
              <w:rPr>
                <w:rFonts w:ascii="Arial" w:hAnsi="Arial" w:cs="Arial"/>
                <w:b/>
                <w:bCs/>
                <w:color w:val="000000"/>
                <w:sz w:val="20"/>
                <w:szCs w:val="20"/>
              </w:rPr>
              <w:t xml:space="preserve">Συνολικό </w:t>
            </w:r>
            <w:r>
              <w:rPr>
                <w:rFonts w:ascii="Arial" w:hAnsi="Arial" w:cs="Arial"/>
                <w:b/>
                <w:bCs/>
                <w:color w:val="000000"/>
                <w:sz w:val="20"/>
                <w:szCs w:val="20"/>
              </w:rPr>
              <w:t>Κ</w:t>
            </w:r>
            <w:r w:rsidRPr="006C72E6">
              <w:rPr>
                <w:rFonts w:ascii="Arial" w:hAnsi="Arial" w:cs="Arial"/>
                <w:b/>
                <w:bCs/>
                <w:color w:val="000000"/>
                <w:sz w:val="20"/>
                <w:szCs w:val="20"/>
              </w:rPr>
              <w:t xml:space="preserve">εφάλαιο και </w:t>
            </w:r>
            <w:r>
              <w:rPr>
                <w:rFonts w:ascii="Arial" w:hAnsi="Arial" w:cs="Arial"/>
                <w:b/>
                <w:bCs/>
                <w:color w:val="000000"/>
                <w:sz w:val="20"/>
                <w:szCs w:val="20"/>
              </w:rPr>
              <w:t>Κ</w:t>
            </w:r>
            <w:r w:rsidRPr="006C72E6">
              <w:rPr>
                <w:rFonts w:ascii="Arial" w:hAnsi="Arial" w:cs="Arial"/>
                <w:b/>
                <w:bCs/>
                <w:color w:val="000000"/>
                <w:sz w:val="20"/>
                <w:szCs w:val="20"/>
              </w:rPr>
              <w:t>όστος</w:t>
            </w:r>
          </w:p>
        </w:tc>
        <w:tc>
          <w:tcPr>
            <w:tcW w:w="1800" w:type="dxa"/>
            <w:tcBorders>
              <w:top w:val="single" w:sz="4" w:space="0" w:color="auto"/>
              <w:left w:val="nil"/>
              <w:bottom w:val="single" w:sz="8" w:space="0" w:color="auto"/>
              <w:right w:val="single" w:sz="8" w:space="0" w:color="auto"/>
            </w:tcBorders>
            <w:shd w:val="clear" w:color="auto" w:fill="auto"/>
            <w:noWrap/>
            <w:vAlign w:val="center"/>
            <w:hideMark/>
          </w:tcPr>
          <w:p w14:paraId="24149E00" w14:textId="6BC0D993" w:rsidR="001915D5" w:rsidRPr="006C72E6" w:rsidRDefault="001915D5" w:rsidP="001915D5">
            <w:pPr>
              <w:jc w:val="center"/>
              <w:rPr>
                <w:rFonts w:ascii="Arial" w:hAnsi="Arial" w:cs="Arial"/>
                <w:b/>
                <w:bCs/>
                <w:color w:val="000000"/>
                <w:sz w:val="20"/>
                <w:szCs w:val="20"/>
              </w:rPr>
            </w:pPr>
            <w:r w:rsidRPr="00C62470">
              <w:rPr>
                <w:rFonts w:ascii="Arial" w:hAnsi="Arial" w:cs="Arial"/>
                <w:b/>
                <w:bCs/>
                <w:color w:val="000000"/>
                <w:sz w:val="20"/>
                <w:szCs w:val="20"/>
              </w:rPr>
              <w:t>920</w:t>
            </w:r>
          </w:p>
        </w:tc>
        <w:tc>
          <w:tcPr>
            <w:tcW w:w="1800" w:type="dxa"/>
            <w:tcBorders>
              <w:top w:val="single" w:sz="4" w:space="0" w:color="auto"/>
              <w:left w:val="nil"/>
              <w:bottom w:val="single" w:sz="8" w:space="0" w:color="auto"/>
              <w:right w:val="single" w:sz="8" w:space="0" w:color="auto"/>
            </w:tcBorders>
            <w:shd w:val="clear" w:color="auto" w:fill="auto"/>
            <w:noWrap/>
            <w:vAlign w:val="center"/>
            <w:hideMark/>
          </w:tcPr>
          <w:p w14:paraId="45FE24DD" w14:textId="13EBA057" w:rsidR="001915D5" w:rsidRPr="006C72E6" w:rsidRDefault="001915D5" w:rsidP="001915D5">
            <w:pPr>
              <w:jc w:val="center"/>
              <w:rPr>
                <w:rFonts w:ascii="Arial" w:hAnsi="Arial" w:cs="Arial"/>
                <w:b/>
                <w:bCs/>
                <w:color w:val="000000"/>
                <w:sz w:val="20"/>
                <w:szCs w:val="20"/>
              </w:rPr>
            </w:pPr>
            <w:r w:rsidRPr="00FD40C8">
              <w:rPr>
                <w:rFonts w:ascii="Arial" w:hAnsi="Arial" w:cs="Arial"/>
                <w:b/>
                <w:bCs/>
                <w:color w:val="000000"/>
                <w:sz w:val="20"/>
                <w:szCs w:val="20"/>
              </w:rPr>
              <w:t>1,21</w:t>
            </w:r>
            <w:r>
              <w:rPr>
                <w:rFonts w:ascii="Arial" w:hAnsi="Arial" w:cs="Arial"/>
                <w:b/>
                <w:bCs/>
                <w:color w:val="000000"/>
                <w:sz w:val="20"/>
                <w:szCs w:val="20"/>
              </w:rPr>
              <w:t>7</w:t>
            </w:r>
          </w:p>
        </w:tc>
        <w:tc>
          <w:tcPr>
            <w:tcW w:w="2070" w:type="dxa"/>
            <w:tcBorders>
              <w:top w:val="single" w:sz="4" w:space="0" w:color="auto"/>
              <w:left w:val="nil"/>
              <w:bottom w:val="single" w:sz="8" w:space="0" w:color="auto"/>
              <w:right w:val="single" w:sz="8" w:space="0" w:color="auto"/>
            </w:tcBorders>
            <w:shd w:val="clear" w:color="auto" w:fill="auto"/>
            <w:noWrap/>
            <w:vAlign w:val="center"/>
            <w:hideMark/>
          </w:tcPr>
          <w:p w14:paraId="41D91B56" w14:textId="3E6482A1" w:rsidR="001915D5" w:rsidRPr="006C72E6" w:rsidRDefault="001915D5" w:rsidP="001915D5">
            <w:pPr>
              <w:jc w:val="center"/>
              <w:rPr>
                <w:rFonts w:ascii="Arial" w:hAnsi="Arial" w:cs="Arial"/>
                <w:b/>
                <w:bCs/>
                <w:color w:val="000000"/>
                <w:sz w:val="20"/>
                <w:szCs w:val="20"/>
              </w:rPr>
            </w:pPr>
            <w:r w:rsidRPr="00C62470">
              <w:rPr>
                <w:rFonts w:ascii="Arial" w:hAnsi="Arial" w:cs="Arial"/>
                <w:b/>
                <w:bCs/>
                <w:color w:val="000000"/>
                <w:sz w:val="20"/>
                <w:szCs w:val="20"/>
              </w:rPr>
              <w:t>5</w:t>
            </w:r>
            <w:r>
              <w:rPr>
                <w:rFonts w:ascii="Arial" w:hAnsi="Arial" w:cs="Arial"/>
                <w:b/>
                <w:bCs/>
                <w:color w:val="000000"/>
                <w:sz w:val="20"/>
                <w:szCs w:val="20"/>
              </w:rPr>
              <w:t>12</w:t>
            </w:r>
          </w:p>
        </w:tc>
        <w:tc>
          <w:tcPr>
            <w:tcW w:w="1800" w:type="dxa"/>
            <w:tcBorders>
              <w:top w:val="single" w:sz="4" w:space="0" w:color="auto"/>
              <w:left w:val="nil"/>
              <w:bottom w:val="single" w:sz="8" w:space="0" w:color="auto"/>
              <w:right w:val="single" w:sz="8" w:space="0" w:color="auto"/>
            </w:tcBorders>
            <w:shd w:val="clear" w:color="auto" w:fill="auto"/>
            <w:noWrap/>
            <w:vAlign w:val="center"/>
            <w:hideMark/>
          </w:tcPr>
          <w:p w14:paraId="40FA7F0B" w14:textId="2315515D" w:rsidR="001915D5" w:rsidRPr="006C72E6" w:rsidRDefault="001915D5" w:rsidP="001915D5">
            <w:pPr>
              <w:jc w:val="center"/>
              <w:rPr>
                <w:rFonts w:ascii="Arial" w:hAnsi="Arial" w:cs="Arial"/>
                <w:b/>
                <w:bCs/>
                <w:color w:val="000000"/>
                <w:sz w:val="20"/>
                <w:szCs w:val="20"/>
              </w:rPr>
            </w:pPr>
            <w:r w:rsidRPr="00C62470">
              <w:rPr>
                <w:rFonts w:ascii="Arial" w:hAnsi="Arial" w:cs="Arial"/>
                <w:b/>
                <w:bCs/>
                <w:color w:val="000000"/>
                <w:sz w:val="20"/>
                <w:szCs w:val="20"/>
              </w:rPr>
              <w:t>7</w:t>
            </w:r>
            <w:r>
              <w:rPr>
                <w:rFonts w:ascii="Arial" w:hAnsi="Arial" w:cs="Arial"/>
                <w:b/>
                <w:bCs/>
                <w:color w:val="000000"/>
                <w:sz w:val="20"/>
                <w:szCs w:val="20"/>
              </w:rPr>
              <w:t>05</w:t>
            </w:r>
          </w:p>
        </w:tc>
      </w:tr>
    </w:tbl>
    <w:p w14:paraId="4CC71163" w14:textId="77777777" w:rsidR="00566D06" w:rsidRPr="006C72E6" w:rsidRDefault="00566D06" w:rsidP="00DC5CE1">
      <w:pPr>
        <w:jc w:val="both"/>
        <w:rPr>
          <w:rFonts w:ascii="Arial" w:hAnsi="Arial" w:cs="Arial"/>
          <w:sz w:val="20"/>
          <w:szCs w:val="20"/>
        </w:rPr>
      </w:pPr>
    </w:p>
    <w:p w14:paraId="643662DF" w14:textId="77777777" w:rsidR="00C813AB" w:rsidRDefault="00C813AB" w:rsidP="00DC5CE1">
      <w:pPr>
        <w:spacing w:after="120"/>
        <w:jc w:val="both"/>
        <w:rPr>
          <w:rFonts w:ascii="Arial" w:hAnsi="Arial" w:cs="Arial"/>
          <w:b/>
          <w:bCs/>
          <w:sz w:val="20"/>
          <w:szCs w:val="20"/>
          <w:u w:val="single"/>
        </w:rPr>
      </w:pPr>
    </w:p>
    <w:p w14:paraId="62909D82" w14:textId="5AF781AB" w:rsidR="00566D06" w:rsidRPr="006C72E6" w:rsidRDefault="00566D06" w:rsidP="00DC5CE1">
      <w:pPr>
        <w:spacing w:after="120"/>
        <w:jc w:val="both"/>
        <w:rPr>
          <w:rFonts w:ascii="Arial" w:hAnsi="Arial" w:cs="Arial"/>
          <w:sz w:val="20"/>
          <w:szCs w:val="20"/>
          <w:u w:val="single"/>
        </w:rPr>
      </w:pPr>
      <w:r w:rsidRPr="006C72E6">
        <w:rPr>
          <w:rFonts w:ascii="Arial" w:hAnsi="Arial" w:cs="Arial"/>
          <w:b/>
          <w:bCs/>
          <w:sz w:val="20"/>
          <w:szCs w:val="20"/>
          <w:u w:val="single"/>
        </w:rPr>
        <w:t xml:space="preserve">Κεφάλαιο </w:t>
      </w:r>
      <w:r w:rsidR="00F43053">
        <w:rPr>
          <w:rFonts w:ascii="Arial" w:hAnsi="Arial" w:cs="Arial"/>
          <w:b/>
          <w:bCs/>
          <w:sz w:val="20"/>
          <w:szCs w:val="20"/>
          <w:u w:val="single"/>
        </w:rPr>
        <w:t>Έ</w:t>
      </w:r>
      <w:r w:rsidRPr="006C72E6">
        <w:rPr>
          <w:rFonts w:ascii="Arial" w:hAnsi="Arial" w:cs="Arial"/>
          <w:b/>
          <w:bCs/>
          <w:sz w:val="20"/>
          <w:szCs w:val="20"/>
          <w:u w:val="single"/>
        </w:rPr>
        <w:t>ργου</w:t>
      </w:r>
    </w:p>
    <w:p w14:paraId="0DE8F7F4" w14:textId="7A1A8FB2" w:rsidR="00566D06" w:rsidRPr="006C72E6" w:rsidRDefault="00566D06" w:rsidP="00DC5CE1">
      <w:pPr>
        <w:spacing w:after="120"/>
        <w:jc w:val="both"/>
        <w:rPr>
          <w:rFonts w:ascii="Arial" w:hAnsi="Arial" w:cs="Arial"/>
          <w:sz w:val="20"/>
          <w:szCs w:val="20"/>
        </w:rPr>
      </w:pPr>
      <w:r w:rsidRPr="006C72E6">
        <w:rPr>
          <w:rFonts w:ascii="Arial" w:hAnsi="Arial" w:cs="Arial"/>
          <w:sz w:val="20"/>
          <w:szCs w:val="20"/>
        </w:rPr>
        <w:t>Η διακύμανση του κόστους του Κεφαλαίου Έργου σχετίζεται κυρίως με:</w:t>
      </w:r>
    </w:p>
    <w:p w14:paraId="224089E4" w14:textId="3F1451B9" w:rsidR="005815CB" w:rsidRPr="001F3971" w:rsidRDefault="00FC188F" w:rsidP="00FC188F">
      <w:pPr>
        <w:pStyle w:val="ListParagraph"/>
        <w:numPr>
          <w:ilvl w:val="0"/>
          <w:numId w:val="27"/>
        </w:numPr>
        <w:rPr>
          <w:rFonts w:ascii="Arial" w:hAnsi="Arial" w:cs="Arial"/>
          <w:i/>
          <w:iCs/>
          <w:sz w:val="20"/>
          <w:szCs w:val="20"/>
        </w:rPr>
      </w:pPr>
      <w:r w:rsidRPr="006C72E6">
        <w:rPr>
          <w:rFonts w:ascii="Arial" w:hAnsi="Arial" w:cs="Arial"/>
          <w:b/>
          <w:bCs/>
          <w:sz w:val="20"/>
          <w:szCs w:val="20"/>
        </w:rPr>
        <w:t>Έμμεσ</w:t>
      </w:r>
      <w:r w:rsidR="004178DC">
        <w:rPr>
          <w:rFonts w:ascii="Arial" w:hAnsi="Arial" w:cs="Arial"/>
          <w:b/>
          <w:bCs/>
          <w:sz w:val="20"/>
          <w:szCs w:val="20"/>
        </w:rPr>
        <w:t>ες δαπάνες</w:t>
      </w:r>
      <w:r w:rsidRPr="006C72E6">
        <w:rPr>
          <w:rFonts w:ascii="Arial" w:hAnsi="Arial" w:cs="Arial"/>
          <w:b/>
          <w:bCs/>
          <w:sz w:val="20"/>
          <w:szCs w:val="20"/>
        </w:rPr>
        <w:t>:</w:t>
      </w:r>
      <w:r w:rsidR="00953F54" w:rsidRPr="006C72E6">
        <w:rPr>
          <w:rFonts w:ascii="Arial" w:hAnsi="Arial" w:cs="Arial"/>
          <w:sz w:val="20"/>
          <w:szCs w:val="20"/>
        </w:rPr>
        <w:t xml:space="preserve"> Ορισμέν</w:t>
      </w:r>
      <w:r w:rsidR="004178DC">
        <w:rPr>
          <w:rFonts w:ascii="Arial" w:hAnsi="Arial" w:cs="Arial"/>
          <w:sz w:val="20"/>
          <w:szCs w:val="20"/>
        </w:rPr>
        <w:t>ες</w:t>
      </w:r>
      <w:r w:rsidR="00953F54" w:rsidRPr="006C72E6">
        <w:rPr>
          <w:rFonts w:ascii="Arial" w:hAnsi="Arial" w:cs="Arial"/>
          <w:sz w:val="20"/>
          <w:szCs w:val="20"/>
        </w:rPr>
        <w:t xml:space="preserve"> σταθερ</w:t>
      </w:r>
      <w:r w:rsidR="004178DC">
        <w:rPr>
          <w:rFonts w:ascii="Arial" w:hAnsi="Arial" w:cs="Arial"/>
          <w:sz w:val="20"/>
          <w:szCs w:val="20"/>
        </w:rPr>
        <w:t xml:space="preserve">ές </w:t>
      </w:r>
      <w:r w:rsidR="00953F54" w:rsidRPr="006C72E6">
        <w:rPr>
          <w:rFonts w:ascii="Arial" w:hAnsi="Arial" w:cs="Arial"/>
          <w:sz w:val="20"/>
          <w:szCs w:val="20"/>
        </w:rPr>
        <w:t>μηνιαί</w:t>
      </w:r>
      <w:r w:rsidR="004178DC">
        <w:rPr>
          <w:rFonts w:ascii="Arial" w:hAnsi="Arial" w:cs="Arial"/>
          <w:sz w:val="20"/>
          <w:szCs w:val="20"/>
        </w:rPr>
        <w:t>ες δαπάνες</w:t>
      </w:r>
      <w:r w:rsidR="00953F54" w:rsidRPr="006C72E6">
        <w:rPr>
          <w:rFonts w:ascii="Arial" w:hAnsi="Arial" w:cs="Arial"/>
          <w:sz w:val="20"/>
          <w:szCs w:val="20"/>
        </w:rPr>
        <w:t>, όπως αυτ</w:t>
      </w:r>
      <w:r w:rsidR="004178DC">
        <w:rPr>
          <w:rFonts w:ascii="Arial" w:hAnsi="Arial" w:cs="Arial"/>
          <w:sz w:val="20"/>
          <w:szCs w:val="20"/>
        </w:rPr>
        <w:t>ές</w:t>
      </w:r>
      <w:r w:rsidR="00953F54" w:rsidRPr="006C72E6">
        <w:rPr>
          <w:rFonts w:ascii="Arial" w:hAnsi="Arial" w:cs="Arial"/>
          <w:sz w:val="20"/>
          <w:szCs w:val="20"/>
        </w:rPr>
        <w:t xml:space="preserve"> που σχετίζονται με </w:t>
      </w:r>
      <w:r w:rsidR="00BD4094">
        <w:rPr>
          <w:rFonts w:ascii="Arial" w:hAnsi="Arial" w:cs="Arial"/>
          <w:sz w:val="20"/>
          <w:szCs w:val="20"/>
        </w:rPr>
        <w:t>το εργατικό δυναμικό</w:t>
      </w:r>
      <w:r w:rsidR="00953F54" w:rsidRPr="006C72E6">
        <w:rPr>
          <w:rFonts w:ascii="Arial" w:hAnsi="Arial" w:cs="Arial"/>
          <w:sz w:val="20"/>
          <w:szCs w:val="20"/>
        </w:rPr>
        <w:t xml:space="preserve">, </w:t>
      </w:r>
      <w:r w:rsidR="001F3971">
        <w:rPr>
          <w:rFonts w:ascii="Arial" w:hAnsi="Arial" w:cs="Arial"/>
          <w:sz w:val="20"/>
          <w:szCs w:val="20"/>
        </w:rPr>
        <w:t xml:space="preserve">τη σύμβαση </w:t>
      </w:r>
      <w:r w:rsidR="001F3971" w:rsidRPr="001F3971">
        <w:rPr>
          <w:rFonts w:ascii="Arial" w:hAnsi="Arial" w:cs="Arial"/>
          <w:sz w:val="20"/>
          <w:szCs w:val="20"/>
        </w:rPr>
        <w:t xml:space="preserve">διαχείρισης </w:t>
      </w:r>
      <w:r w:rsidR="006A2583" w:rsidRPr="001F3971">
        <w:rPr>
          <w:rFonts w:ascii="Arial" w:hAnsi="Arial" w:cs="Arial"/>
          <w:sz w:val="20"/>
          <w:szCs w:val="20"/>
        </w:rPr>
        <w:t>Μηχανική</w:t>
      </w:r>
      <w:r w:rsidR="001F3971" w:rsidRPr="001F3971">
        <w:rPr>
          <w:rFonts w:ascii="Arial" w:hAnsi="Arial" w:cs="Arial"/>
          <w:sz w:val="20"/>
          <w:szCs w:val="20"/>
        </w:rPr>
        <w:t>ς</w:t>
      </w:r>
      <w:r w:rsidR="006A2583" w:rsidRPr="001F3971">
        <w:rPr>
          <w:rFonts w:ascii="Arial" w:hAnsi="Arial" w:cs="Arial"/>
          <w:sz w:val="20"/>
          <w:szCs w:val="20"/>
        </w:rPr>
        <w:t>, Προμ</w:t>
      </w:r>
      <w:r w:rsidR="001F3971" w:rsidRPr="001F3971">
        <w:rPr>
          <w:rFonts w:ascii="Arial" w:hAnsi="Arial" w:cs="Arial"/>
          <w:sz w:val="20"/>
          <w:szCs w:val="20"/>
        </w:rPr>
        <w:t>ηθειών</w:t>
      </w:r>
      <w:r w:rsidR="006A2583" w:rsidRPr="001F3971">
        <w:rPr>
          <w:rFonts w:ascii="Arial" w:hAnsi="Arial" w:cs="Arial"/>
          <w:sz w:val="20"/>
          <w:szCs w:val="20"/>
        </w:rPr>
        <w:t xml:space="preserve"> και Διαχείριση</w:t>
      </w:r>
      <w:r w:rsidR="001F3971" w:rsidRPr="001F3971">
        <w:rPr>
          <w:rFonts w:ascii="Arial" w:hAnsi="Arial" w:cs="Arial"/>
          <w:sz w:val="20"/>
          <w:szCs w:val="20"/>
        </w:rPr>
        <w:t>ς</w:t>
      </w:r>
      <w:r w:rsidR="006A2583" w:rsidRPr="001F3971">
        <w:rPr>
          <w:rFonts w:ascii="Arial" w:hAnsi="Arial" w:cs="Arial"/>
          <w:sz w:val="20"/>
          <w:szCs w:val="20"/>
        </w:rPr>
        <w:t xml:space="preserve"> Κατασκευών</w:t>
      </w:r>
      <w:r w:rsidR="001F3971" w:rsidRPr="001F3971">
        <w:rPr>
          <w:rFonts w:ascii="Arial" w:hAnsi="Arial" w:cs="Arial"/>
          <w:sz w:val="20"/>
          <w:szCs w:val="20"/>
        </w:rPr>
        <w:t xml:space="preserve"> του Έργου (</w:t>
      </w:r>
      <w:r w:rsidR="00953F54" w:rsidRPr="001F3971">
        <w:rPr>
          <w:rFonts w:ascii="Arial" w:hAnsi="Arial" w:cs="Arial"/>
          <w:sz w:val="20"/>
          <w:szCs w:val="20"/>
        </w:rPr>
        <w:t>EPCM</w:t>
      </w:r>
      <w:r w:rsidR="001F3971" w:rsidRPr="001F3971">
        <w:rPr>
          <w:rFonts w:ascii="Arial" w:hAnsi="Arial" w:cs="Arial"/>
          <w:sz w:val="20"/>
          <w:szCs w:val="20"/>
        </w:rPr>
        <w:t>)</w:t>
      </w:r>
      <w:r w:rsidR="00953F54" w:rsidRPr="001F3971">
        <w:rPr>
          <w:rFonts w:ascii="Arial" w:hAnsi="Arial" w:cs="Arial"/>
          <w:sz w:val="20"/>
          <w:szCs w:val="20"/>
        </w:rPr>
        <w:t xml:space="preserve">, την ασφάλιση και </w:t>
      </w:r>
      <w:r w:rsidR="0080270E" w:rsidRPr="001F3971">
        <w:rPr>
          <w:rFonts w:ascii="Arial" w:hAnsi="Arial" w:cs="Arial"/>
          <w:sz w:val="20"/>
          <w:szCs w:val="20"/>
        </w:rPr>
        <w:t xml:space="preserve">τη </w:t>
      </w:r>
      <w:r w:rsidR="0035540C" w:rsidRPr="001F3971">
        <w:rPr>
          <w:rFonts w:ascii="Arial" w:hAnsi="Arial" w:cs="Arial"/>
          <w:sz w:val="20"/>
          <w:szCs w:val="20"/>
        </w:rPr>
        <w:t>διοικητική</w:t>
      </w:r>
      <w:r w:rsidR="0080270E" w:rsidRPr="001F3971">
        <w:rPr>
          <w:rFonts w:ascii="Arial" w:hAnsi="Arial" w:cs="Arial"/>
          <w:sz w:val="20"/>
          <w:szCs w:val="20"/>
        </w:rPr>
        <w:t xml:space="preserve"> υποστήριξη</w:t>
      </w:r>
      <w:r w:rsidR="00953F54" w:rsidRPr="001F3971">
        <w:rPr>
          <w:rFonts w:ascii="Arial" w:hAnsi="Arial" w:cs="Arial"/>
          <w:sz w:val="20"/>
          <w:szCs w:val="20"/>
        </w:rPr>
        <w:t>, θα προκύ</w:t>
      </w:r>
      <w:r w:rsidR="0080270E" w:rsidRPr="001F3971">
        <w:rPr>
          <w:rFonts w:ascii="Arial" w:hAnsi="Arial" w:cs="Arial"/>
          <w:sz w:val="20"/>
          <w:szCs w:val="20"/>
        </w:rPr>
        <w:t>πτ</w:t>
      </w:r>
      <w:r w:rsidR="00953F54" w:rsidRPr="001F3971">
        <w:rPr>
          <w:rFonts w:ascii="Arial" w:hAnsi="Arial" w:cs="Arial"/>
          <w:sz w:val="20"/>
          <w:szCs w:val="20"/>
        </w:rPr>
        <w:t>ουν για μια παρατεταμένη περίοδο κατασκευής.</w:t>
      </w:r>
    </w:p>
    <w:p w14:paraId="6CFE7E89" w14:textId="77777777" w:rsidR="005B1D85" w:rsidRPr="006C72E6" w:rsidRDefault="005B1D85" w:rsidP="005B1D85">
      <w:pPr>
        <w:pStyle w:val="ListParagraph"/>
        <w:rPr>
          <w:rFonts w:ascii="Arial" w:hAnsi="Arial" w:cs="Arial"/>
          <w:b/>
          <w:bCs/>
          <w:i/>
          <w:iCs/>
          <w:sz w:val="20"/>
          <w:szCs w:val="20"/>
        </w:rPr>
      </w:pPr>
    </w:p>
    <w:p w14:paraId="265CC8E6" w14:textId="17EF757D" w:rsidR="00FC188F" w:rsidRPr="00017DA5" w:rsidRDefault="00FD40C8" w:rsidP="00C3184B">
      <w:pPr>
        <w:pStyle w:val="ListParagraph"/>
        <w:numPr>
          <w:ilvl w:val="0"/>
          <w:numId w:val="27"/>
        </w:numPr>
        <w:rPr>
          <w:rFonts w:ascii="Arial" w:hAnsi="Arial" w:cs="Arial"/>
          <w:b/>
          <w:bCs/>
          <w:i/>
          <w:iCs/>
          <w:sz w:val="20"/>
          <w:szCs w:val="20"/>
        </w:rPr>
      </w:pPr>
      <w:r w:rsidRPr="006C72E6">
        <w:rPr>
          <w:rFonts w:ascii="Arial" w:hAnsi="Arial" w:cs="Arial"/>
          <w:b/>
          <w:bCs/>
          <w:sz w:val="20"/>
          <w:szCs w:val="20"/>
        </w:rPr>
        <w:t xml:space="preserve">Ποσότητα υλικών: </w:t>
      </w:r>
      <w:r w:rsidR="00393EDC" w:rsidRPr="006C72E6">
        <w:rPr>
          <w:rFonts w:ascii="Arial" w:hAnsi="Arial" w:cs="Arial"/>
          <w:sz w:val="20"/>
          <w:szCs w:val="20"/>
        </w:rPr>
        <w:t xml:space="preserve">Υψηλότερες αναμενόμενες ποσότητες υλικών όπως σκυρόδεμα, χάλυβας και σωληνώσεις, που εντοπίστηκαν κατά την ολοκλήρωση </w:t>
      </w:r>
      <w:r w:rsidR="000B7087">
        <w:rPr>
          <w:rFonts w:ascii="Arial" w:hAnsi="Arial" w:cs="Arial"/>
          <w:sz w:val="20"/>
          <w:szCs w:val="20"/>
        </w:rPr>
        <w:t xml:space="preserve">των </w:t>
      </w:r>
      <w:r w:rsidR="000B7087" w:rsidRPr="0DC78ABB">
        <w:rPr>
          <w:rFonts w:ascii="Arial" w:hAnsi="Arial" w:cs="Arial"/>
          <w:sz w:val="20"/>
          <w:szCs w:val="20"/>
        </w:rPr>
        <w:t>τεχνικ</w:t>
      </w:r>
      <w:r w:rsidR="000B7087">
        <w:rPr>
          <w:rFonts w:ascii="Arial" w:hAnsi="Arial" w:cs="Arial"/>
          <w:sz w:val="20"/>
          <w:szCs w:val="20"/>
        </w:rPr>
        <w:t>ών</w:t>
      </w:r>
      <w:r w:rsidR="000B7087" w:rsidRPr="0DC78ABB">
        <w:rPr>
          <w:rFonts w:ascii="Arial" w:hAnsi="Arial" w:cs="Arial"/>
          <w:sz w:val="20"/>
          <w:szCs w:val="20"/>
        </w:rPr>
        <w:t xml:space="preserve"> μελ</w:t>
      </w:r>
      <w:r w:rsidR="000B7087">
        <w:rPr>
          <w:rFonts w:ascii="Arial" w:hAnsi="Arial" w:cs="Arial"/>
          <w:sz w:val="20"/>
          <w:szCs w:val="20"/>
        </w:rPr>
        <w:t>ετών</w:t>
      </w:r>
      <w:r w:rsidR="000B7087" w:rsidRPr="0DC78ABB">
        <w:rPr>
          <w:rFonts w:ascii="Arial" w:hAnsi="Arial" w:cs="Arial"/>
          <w:sz w:val="20"/>
          <w:szCs w:val="20"/>
        </w:rPr>
        <w:t xml:space="preserve"> εφαρμογής (detailed</w:t>
      </w:r>
      <w:r w:rsidR="000B7087" w:rsidRPr="00462DA3">
        <w:rPr>
          <w:rFonts w:ascii="Arial" w:hAnsi="Arial" w:cs="Arial"/>
          <w:sz w:val="20"/>
          <w:szCs w:val="20"/>
        </w:rPr>
        <w:t xml:space="preserve"> </w:t>
      </w:r>
      <w:r w:rsidR="000B7087" w:rsidRPr="0DC78ABB">
        <w:rPr>
          <w:rFonts w:ascii="Arial" w:hAnsi="Arial" w:cs="Arial"/>
          <w:sz w:val="20"/>
          <w:szCs w:val="20"/>
        </w:rPr>
        <w:t xml:space="preserve">engineering) </w:t>
      </w:r>
      <w:r w:rsidR="00C3184B" w:rsidRPr="00C3184B">
        <w:rPr>
          <w:rFonts w:ascii="Arial" w:hAnsi="Arial" w:cs="Arial"/>
          <w:sz w:val="20"/>
          <w:szCs w:val="20"/>
        </w:rPr>
        <w:t>σε</w:t>
      </w:r>
      <w:r w:rsidR="00393EDC" w:rsidRPr="00C3184B">
        <w:rPr>
          <w:rFonts w:ascii="Arial" w:hAnsi="Arial" w:cs="Arial"/>
          <w:sz w:val="20"/>
          <w:szCs w:val="20"/>
        </w:rPr>
        <w:t xml:space="preserve"> συμμόρφωση</w:t>
      </w:r>
      <w:r w:rsidR="00393EDC" w:rsidRPr="006C72E6">
        <w:rPr>
          <w:rFonts w:ascii="Arial" w:hAnsi="Arial" w:cs="Arial"/>
          <w:sz w:val="20"/>
          <w:szCs w:val="20"/>
        </w:rPr>
        <w:t xml:space="preserve"> </w:t>
      </w:r>
      <w:r w:rsidR="00393EDC" w:rsidRPr="00B622FF">
        <w:rPr>
          <w:rFonts w:ascii="Arial" w:hAnsi="Arial" w:cs="Arial"/>
          <w:sz w:val="20"/>
          <w:szCs w:val="20"/>
        </w:rPr>
        <w:t xml:space="preserve">με </w:t>
      </w:r>
      <w:r w:rsidR="2A41A5C9" w:rsidRPr="00B622FF">
        <w:rPr>
          <w:rFonts w:ascii="Arial" w:hAnsi="Arial" w:cs="Arial"/>
          <w:sz w:val="20"/>
          <w:szCs w:val="20"/>
        </w:rPr>
        <w:t>τις απαιτήσεις των ελληνικών κανονισμών και προτύπων</w:t>
      </w:r>
      <w:r w:rsidR="00393EDC" w:rsidRPr="006C72E6">
        <w:rPr>
          <w:rFonts w:ascii="Arial" w:hAnsi="Arial" w:cs="Arial"/>
          <w:sz w:val="20"/>
          <w:szCs w:val="20"/>
        </w:rPr>
        <w:t>.</w:t>
      </w:r>
    </w:p>
    <w:p w14:paraId="49EFCAF2" w14:textId="77777777" w:rsidR="00017DA5" w:rsidRPr="00017DA5" w:rsidRDefault="00017DA5" w:rsidP="00017DA5">
      <w:pPr>
        <w:pStyle w:val="ListParagraph"/>
        <w:rPr>
          <w:rFonts w:ascii="Arial" w:hAnsi="Arial" w:cs="Arial"/>
          <w:b/>
          <w:bCs/>
          <w:i/>
          <w:iCs/>
          <w:sz w:val="20"/>
          <w:szCs w:val="20"/>
        </w:rPr>
      </w:pPr>
    </w:p>
    <w:p w14:paraId="746B0D72" w14:textId="1FFBDF59" w:rsidR="00017DA5" w:rsidRPr="00017DA5" w:rsidRDefault="0067303A" w:rsidP="00C3184B">
      <w:pPr>
        <w:pStyle w:val="ListParagraph"/>
        <w:numPr>
          <w:ilvl w:val="0"/>
          <w:numId w:val="27"/>
        </w:numPr>
        <w:rPr>
          <w:rFonts w:ascii="Arial" w:hAnsi="Arial" w:cs="Arial"/>
          <w:sz w:val="20"/>
          <w:szCs w:val="20"/>
        </w:rPr>
      </w:pPr>
      <w:r>
        <w:rPr>
          <w:rFonts w:ascii="Arial" w:hAnsi="Arial" w:cs="Arial"/>
          <w:b/>
          <w:bCs/>
          <w:sz w:val="20"/>
          <w:szCs w:val="20"/>
        </w:rPr>
        <w:t>Λοιπά</w:t>
      </w:r>
      <w:r w:rsidR="00017DA5" w:rsidRPr="00017DA5">
        <w:rPr>
          <w:rFonts w:ascii="Arial" w:hAnsi="Arial" w:cs="Arial"/>
          <w:b/>
          <w:bCs/>
          <w:sz w:val="20"/>
          <w:szCs w:val="20"/>
        </w:rPr>
        <w:t xml:space="preserve">: </w:t>
      </w:r>
      <w:r w:rsidR="00017DA5" w:rsidRPr="00017DA5">
        <w:rPr>
          <w:rFonts w:ascii="Arial" w:hAnsi="Arial" w:cs="Arial"/>
          <w:sz w:val="20"/>
          <w:szCs w:val="20"/>
        </w:rPr>
        <w:t xml:space="preserve">Κλιμάκωση των </w:t>
      </w:r>
      <w:r>
        <w:rPr>
          <w:rFonts w:ascii="Arial" w:hAnsi="Arial" w:cs="Arial"/>
          <w:sz w:val="20"/>
          <w:szCs w:val="20"/>
        </w:rPr>
        <w:t xml:space="preserve">μοναδιαίων </w:t>
      </w:r>
      <w:r w:rsidR="00017DA5" w:rsidRPr="00017DA5">
        <w:rPr>
          <w:rFonts w:ascii="Arial" w:hAnsi="Arial" w:cs="Arial"/>
          <w:sz w:val="20"/>
          <w:szCs w:val="20"/>
        </w:rPr>
        <w:t xml:space="preserve">τιμών από τους εργολάβους κατασκευής και άλλα </w:t>
      </w:r>
      <w:r>
        <w:rPr>
          <w:rFonts w:ascii="Arial" w:hAnsi="Arial" w:cs="Arial"/>
          <w:sz w:val="20"/>
          <w:szCs w:val="20"/>
        </w:rPr>
        <w:t>θέματα</w:t>
      </w:r>
      <w:r w:rsidR="00017DA5" w:rsidRPr="00017DA5">
        <w:rPr>
          <w:rFonts w:ascii="Arial" w:hAnsi="Arial" w:cs="Arial"/>
          <w:sz w:val="20"/>
          <w:szCs w:val="20"/>
        </w:rPr>
        <w:t>.</w:t>
      </w:r>
    </w:p>
    <w:p w14:paraId="55912583" w14:textId="77777777" w:rsidR="005B1D85" w:rsidRPr="006C72E6" w:rsidRDefault="005B1D85" w:rsidP="005B1D85">
      <w:pPr>
        <w:pStyle w:val="ListParagraph"/>
        <w:rPr>
          <w:rFonts w:ascii="Arial" w:hAnsi="Arial" w:cs="Arial"/>
          <w:b/>
          <w:bCs/>
          <w:i/>
          <w:iCs/>
          <w:sz w:val="20"/>
          <w:szCs w:val="20"/>
        </w:rPr>
      </w:pPr>
    </w:p>
    <w:p w14:paraId="6CE34C18" w14:textId="77777777" w:rsidR="00E21774" w:rsidRDefault="00E21774" w:rsidP="00865275">
      <w:pPr>
        <w:rPr>
          <w:rFonts w:ascii="Arial" w:hAnsi="Arial" w:cs="Arial"/>
          <w:i/>
          <w:iCs/>
          <w:sz w:val="20"/>
          <w:szCs w:val="20"/>
        </w:rPr>
      </w:pPr>
    </w:p>
    <w:p w14:paraId="30DAAE16" w14:textId="4ED217AE" w:rsidR="00566D06" w:rsidRPr="006C72E6" w:rsidRDefault="00B607FB" w:rsidP="00865275">
      <w:pPr>
        <w:rPr>
          <w:rFonts w:ascii="Arial" w:hAnsi="Arial" w:cs="Arial"/>
          <w:i/>
          <w:iCs/>
          <w:sz w:val="20"/>
          <w:szCs w:val="20"/>
        </w:rPr>
      </w:pPr>
      <w:r w:rsidRPr="006C72E6">
        <w:rPr>
          <w:rFonts w:ascii="Arial" w:hAnsi="Arial" w:cs="Arial"/>
          <w:i/>
          <w:iCs/>
          <w:sz w:val="20"/>
          <w:szCs w:val="20"/>
        </w:rPr>
        <w:lastRenderedPageBreak/>
        <w:t xml:space="preserve">Πίνακας 2. Κεφάλαιο </w:t>
      </w:r>
      <w:r w:rsidR="0069306A">
        <w:rPr>
          <w:rFonts w:ascii="Arial" w:hAnsi="Arial" w:cs="Arial"/>
          <w:i/>
          <w:iCs/>
          <w:sz w:val="20"/>
          <w:szCs w:val="20"/>
        </w:rPr>
        <w:t>Έ</w:t>
      </w:r>
      <w:r w:rsidRPr="006C72E6">
        <w:rPr>
          <w:rFonts w:ascii="Arial" w:hAnsi="Arial" w:cs="Arial"/>
          <w:i/>
          <w:iCs/>
          <w:sz w:val="20"/>
          <w:szCs w:val="20"/>
        </w:rPr>
        <w:t xml:space="preserve">ργου – Απόκλιση από προηγούμενη εκτίμηση </w:t>
      </w:r>
      <w:r w:rsidR="0069306A">
        <w:rPr>
          <w:rFonts w:ascii="Arial" w:hAnsi="Arial" w:cs="Arial"/>
          <w:i/>
          <w:iCs/>
          <w:sz w:val="20"/>
          <w:szCs w:val="20"/>
        </w:rPr>
        <w:t>(εκατ. δολάρια ΗΠΑ</w:t>
      </w:r>
      <w:r w:rsidRPr="006C72E6">
        <w:rPr>
          <w:rFonts w:ascii="Arial" w:hAnsi="Arial" w:cs="Arial"/>
          <w:i/>
          <w:iCs/>
          <w:sz w:val="20"/>
          <w:szCs w:val="20"/>
        </w:rPr>
        <w:t>)</w:t>
      </w:r>
    </w:p>
    <w:tbl>
      <w:tblPr>
        <w:tblW w:w="5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50"/>
        <w:gridCol w:w="2950"/>
      </w:tblGrid>
      <w:tr w:rsidR="00566D06" w:rsidRPr="006C72E6" w14:paraId="36C5DB66" w14:textId="77777777" w:rsidTr="00865275">
        <w:trPr>
          <w:trHeight w:val="300"/>
        </w:trPr>
        <w:tc>
          <w:tcPr>
            <w:tcW w:w="2950" w:type="dxa"/>
            <w:shd w:val="clear" w:color="auto" w:fill="ECF8F0"/>
            <w:noWrap/>
            <w:vAlign w:val="center"/>
            <w:hideMark/>
          </w:tcPr>
          <w:p w14:paraId="50554248" w14:textId="77777777" w:rsidR="00566D06" w:rsidRPr="006C72E6" w:rsidRDefault="00566D06" w:rsidP="00DC5CE1">
            <w:pPr>
              <w:jc w:val="center"/>
              <w:rPr>
                <w:rFonts w:ascii="Arial" w:hAnsi="Arial" w:cs="Arial"/>
                <w:b/>
                <w:bCs/>
                <w:color w:val="000000"/>
                <w:sz w:val="20"/>
                <w:szCs w:val="20"/>
              </w:rPr>
            </w:pPr>
            <w:r w:rsidRPr="006C72E6">
              <w:rPr>
                <w:rFonts w:ascii="Arial" w:hAnsi="Arial" w:cs="Arial"/>
                <w:b/>
                <w:bCs/>
                <w:color w:val="000000"/>
                <w:sz w:val="20"/>
                <w:szCs w:val="20"/>
              </w:rPr>
              <w:t>Κατηγορία</w:t>
            </w:r>
          </w:p>
        </w:tc>
        <w:tc>
          <w:tcPr>
            <w:tcW w:w="2950" w:type="dxa"/>
            <w:shd w:val="clear" w:color="auto" w:fill="ECF8F0"/>
            <w:noWrap/>
            <w:vAlign w:val="center"/>
            <w:hideMark/>
          </w:tcPr>
          <w:p w14:paraId="71DC9826" w14:textId="77777777" w:rsidR="00566D06" w:rsidRPr="006C72E6" w:rsidRDefault="00566D06" w:rsidP="00DC5CE1">
            <w:pPr>
              <w:jc w:val="center"/>
              <w:rPr>
                <w:rFonts w:ascii="Arial" w:hAnsi="Arial" w:cs="Arial"/>
                <w:b/>
                <w:bCs/>
                <w:color w:val="000000"/>
                <w:sz w:val="20"/>
                <w:szCs w:val="20"/>
              </w:rPr>
            </w:pPr>
            <w:r w:rsidRPr="006C72E6">
              <w:rPr>
                <w:rFonts w:ascii="Arial" w:hAnsi="Arial" w:cs="Arial"/>
                <w:b/>
                <w:bCs/>
                <w:color w:val="000000"/>
                <w:sz w:val="20"/>
                <w:szCs w:val="20"/>
              </w:rPr>
              <w:t>Διαφορά</w:t>
            </w:r>
          </w:p>
        </w:tc>
      </w:tr>
      <w:tr w:rsidR="00473701" w:rsidRPr="006C72E6" w14:paraId="7B614619" w14:textId="77777777" w:rsidTr="00473701">
        <w:trPr>
          <w:trHeight w:val="300"/>
        </w:trPr>
        <w:tc>
          <w:tcPr>
            <w:tcW w:w="2950" w:type="dxa"/>
            <w:shd w:val="clear" w:color="auto" w:fill="auto"/>
            <w:noWrap/>
            <w:vAlign w:val="center"/>
          </w:tcPr>
          <w:p w14:paraId="5F7E999E" w14:textId="51EE9B62" w:rsidR="00473701" w:rsidRPr="006C72E6" w:rsidRDefault="00473701" w:rsidP="00473701">
            <w:pPr>
              <w:jc w:val="center"/>
              <w:rPr>
                <w:rFonts w:ascii="Arial" w:hAnsi="Arial" w:cs="Arial"/>
                <w:color w:val="000000"/>
                <w:sz w:val="20"/>
                <w:szCs w:val="20"/>
              </w:rPr>
            </w:pPr>
            <w:r w:rsidRPr="006C72E6">
              <w:rPr>
                <w:rFonts w:ascii="Arial" w:hAnsi="Arial" w:cs="Arial"/>
                <w:color w:val="000000"/>
                <w:sz w:val="20"/>
                <w:szCs w:val="20"/>
              </w:rPr>
              <w:t>Έμμεσες δαπάνες</w:t>
            </w:r>
          </w:p>
        </w:tc>
        <w:tc>
          <w:tcPr>
            <w:tcW w:w="2950" w:type="dxa"/>
            <w:shd w:val="clear" w:color="auto" w:fill="auto"/>
            <w:noWrap/>
            <w:vAlign w:val="center"/>
          </w:tcPr>
          <w:p w14:paraId="16D819C5" w14:textId="040344BB" w:rsidR="00473701" w:rsidRPr="006C72E6" w:rsidRDefault="003763A5" w:rsidP="00473701">
            <w:pPr>
              <w:jc w:val="center"/>
              <w:rPr>
                <w:rFonts w:ascii="Arial" w:hAnsi="Arial" w:cs="Arial"/>
                <w:color w:val="000000"/>
                <w:sz w:val="20"/>
                <w:szCs w:val="20"/>
              </w:rPr>
            </w:pPr>
            <w:r w:rsidRPr="006C72E6">
              <w:rPr>
                <w:rFonts w:ascii="Arial" w:hAnsi="Arial" w:cs="Arial"/>
                <w:color w:val="000000"/>
                <w:sz w:val="20"/>
                <w:szCs w:val="20"/>
              </w:rPr>
              <w:t>8</w:t>
            </w:r>
            <w:r w:rsidR="00C6521D">
              <w:rPr>
                <w:rFonts w:ascii="Arial" w:hAnsi="Arial" w:cs="Arial"/>
                <w:color w:val="000000"/>
                <w:sz w:val="20"/>
                <w:szCs w:val="20"/>
              </w:rPr>
              <w:t>6</w:t>
            </w:r>
          </w:p>
        </w:tc>
      </w:tr>
      <w:tr w:rsidR="00473701" w:rsidRPr="006C72E6" w14:paraId="64C03250" w14:textId="77777777" w:rsidTr="00865275">
        <w:trPr>
          <w:trHeight w:val="300"/>
        </w:trPr>
        <w:tc>
          <w:tcPr>
            <w:tcW w:w="2950" w:type="dxa"/>
            <w:shd w:val="clear" w:color="auto" w:fill="auto"/>
            <w:noWrap/>
            <w:vAlign w:val="center"/>
          </w:tcPr>
          <w:p w14:paraId="3EC27E61" w14:textId="2B38845D" w:rsidR="00473701" w:rsidRPr="006C72E6" w:rsidDel="00FB485D" w:rsidRDefault="00473701" w:rsidP="00473701">
            <w:pPr>
              <w:jc w:val="center"/>
              <w:rPr>
                <w:rFonts w:ascii="Arial" w:hAnsi="Arial" w:cs="Arial"/>
                <w:color w:val="000000"/>
                <w:sz w:val="20"/>
                <w:szCs w:val="20"/>
              </w:rPr>
            </w:pPr>
            <w:r w:rsidRPr="006C72E6">
              <w:rPr>
                <w:rFonts w:ascii="Arial" w:hAnsi="Arial" w:cs="Arial"/>
                <w:color w:val="000000"/>
                <w:sz w:val="20"/>
                <w:szCs w:val="20"/>
              </w:rPr>
              <w:t>Υλικά</w:t>
            </w:r>
          </w:p>
        </w:tc>
        <w:tc>
          <w:tcPr>
            <w:tcW w:w="2950" w:type="dxa"/>
            <w:shd w:val="clear" w:color="auto" w:fill="auto"/>
            <w:noWrap/>
            <w:vAlign w:val="center"/>
          </w:tcPr>
          <w:p w14:paraId="46772B2D" w14:textId="323AB070" w:rsidR="00473701" w:rsidRPr="006C72E6" w:rsidDel="00FB485D" w:rsidRDefault="003763A5" w:rsidP="00473701">
            <w:pPr>
              <w:jc w:val="center"/>
              <w:rPr>
                <w:rFonts w:ascii="Arial" w:hAnsi="Arial" w:cs="Arial"/>
                <w:color w:val="000000"/>
                <w:sz w:val="20"/>
                <w:szCs w:val="20"/>
              </w:rPr>
            </w:pPr>
            <w:r w:rsidRPr="006C72E6">
              <w:rPr>
                <w:rFonts w:ascii="Arial" w:hAnsi="Arial" w:cs="Arial"/>
                <w:color w:val="000000"/>
                <w:sz w:val="20"/>
                <w:szCs w:val="20"/>
              </w:rPr>
              <w:t>36</w:t>
            </w:r>
          </w:p>
        </w:tc>
      </w:tr>
      <w:tr w:rsidR="00473701" w:rsidRPr="006C72E6" w14:paraId="20DC06F3" w14:textId="77777777" w:rsidTr="00865275">
        <w:trPr>
          <w:trHeight w:val="300"/>
        </w:trPr>
        <w:tc>
          <w:tcPr>
            <w:tcW w:w="2950" w:type="dxa"/>
            <w:tcBorders>
              <w:bottom w:val="single" w:sz="4" w:space="0" w:color="auto"/>
            </w:tcBorders>
            <w:shd w:val="clear" w:color="auto" w:fill="auto"/>
            <w:noWrap/>
            <w:vAlign w:val="center"/>
          </w:tcPr>
          <w:p w14:paraId="11724591" w14:textId="76EDADBF" w:rsidR="00473701" w:rsidRPr="006C72E6" w:rsidRDefault="0067303A" w:rsidP="00473701">
            <w:pPr>
              <w:jc w:val="center"/>
              <w:rPr>
                <w:rFonts w:ascii="Arial" w:hAnsi="Arial" w:cs="Arial"/>
                <w:color w:val="000000"/>
                <w:sz w:val="20"/>
                <w:szCs w:val="20"/>
              </w:rPr>
            </w:pPr>
            <w:r>
              <w:rPr>
                <w:rFonts w:ascii="Arial" w:hAnsi="Arial" w:cs="Arial"/>
                <w:color w:val="000000"/>
                <w:sz w:val="20"/>
                <w:szCs w:val="20"/>
              </w:rPr>
              <w:t>Λοιπά</w:t>
            </w:r>
          </w:p>
        </w:tc>
        <w:tc>
          <w:tcPr>
            <w:tcW w:w="2950" w:type="dxa"/>
            <w:tcBorders>
              <w:bottom w:val="single" w:sz="4" w:space="0" w:color="auto"/>
            </w:tcBorders>
            <w:shd w:val="clear" w:color="auto" w:fill="auto"/>
            <w:noWrap/>
            <w:vAlign w:val="center"/>
          </w:tcPr>
          <w:p w14:paraId="67E3951A" w14:textId="6807966C" w:rsidR="00473701" w:rsidRPr="006C72E6" w:rsidRDefault="00F628C8" w:rsidP="00473701">
            <w:pPr>
              <w:jc w:val="center"/>
              <w:rPr>
                <w:rFonts w:ascii="Arial" w:hAnsi="Arial" w:cs="Arial"/>
                <w:color w:val="000000"/>
                <w:sz w:val="20"/>
                <w:szCs w:val="20"/>
              </w:rPr>
            </w:pPr>
            <w:r w:rsidRPr="006C72E6">
              <w:rPr>
                <w:rFonts w:ascii="Arial" w:hAnsi="Arial" w:cs="Arial"/>
                <w:color w:val="000000"/>
                <w:sz w:val="20"/>
                <w:szCs w:val="20"/>
              </w:rPr>
              <w:t>21</w:t>
            </w:r>
          </w:p>
        </w:tc>
      </w:tr>
      <w:tr w:rsidR="00473701" w:rsidRPr="006C72E6" w14:paraId="5100CB2F" w14:textId="77777777" w:rsidTr="00865275">
        <w:trPr>
          <w:trHeight w:val="300"/>
        </w:trPr>
        <w:tc>
          <w:tcPr>
            <w:tcW w:w="2950" w:type="dxa"/>
            <w:tcBorders>
              <w:top w:val="single" w:sz="4" w:space="0" w:color="auto"/>
            </w:tcBorders>
            <w:shd w:val="clear" w:color="auto" w:fill="auto"/>
            <w:noWrap/>
            <w:vAlign w:val="center"/>
            <w:hideMark/>
          </w:tcPr>
          <w:p w14:paraId="4CE5E3B3" w14:textId="34E02C9A" w:rsidR="00473701" w:rsidRPr="006C72E6" w:rsidRDefault="00473701" w:rsidP="00473701">
            <w:pPr>
              <w:jc w:val="center"/>
              <w:rPr>
                <w:rFonts w:ascii="Arial" w:hAnsi="Arial" w:cs="Arial"/>
                <w:b/>
                <w:bCs/>
                <w:color w:val="000000"/>
                <w:sz w:val="20"/>
                <w:szCs w:val="20"/>
              </w:rPr>
            </w:pPr>
            <w:r w:rsidRPr="006C72E6">
              <w:rPr>
                <w:rFonts w:ascii="Arial" w:hAnsi="Arial" w:cs="Arial"/>
                <w:b/>
                <w:bCs/>
                <w:color w:val="000000"/>
                <w:sz w:val="20"/>
                <w:szCs w:val="20"/>
              </w:rPr>
              <w:t>Συνολική διακύμανση</w:t>
            </w:r>
          </w:p>
        </w:tc>
        <w:tc>
          <w:tcPr>
            <w:tcW w:w="2950" w:type="dxa"/>
            <w:tcBorders>
              <w:top w:val="single" w:sz="4" w:space="0" w:color="auto"/>
            </w:tcBorders>
            <w:shd w:val="clear" w:color="auto" w:fill="auto"/>
            <w:noWrap/>
            <w:vAlign w:val="center"/>
            <w:hideMark/>
          </w:tcPr>
          <w:p w14:paraId="2A5D1BD0" w14:textId="0622A9B2" w:rsidR="00473701" w:rsidRPr="006C72E6" w:rsidRDefault="00473701" w:rsidP="00473701">
            <w:pPr>
              <w:jc w:val="center"/>
              <w:rPr>
                <w:rFonts w:ascii="Arial" w:hAnsi="Arial" w:cs="Arial"/>
                <w:b/>
                <w:bCs/>
                <w:color w:val="000000"/>
                <w:sz w:val="20"/>
                <w:szCs w:val="20"/>
              </w:rPr>
            </w:pPr>
            <w:r w:rsidRPr="006C72E6">
              <w:rPr>
                <w:rFonts w:ascii="Arial" w:hAnsi="Arial" w:cs="Arial"/>
                <w:b/>
                <w:bCs/>
                <w:color w:val="000000"/>
                <w:sz w:val="20"/>
                <w:szCs w:val="20"/>
              </w:rPr>
              <w:t>143</w:t>
            </w:r>
          </w:p>
        </w:tc>
      </w:tr>
    </w:tbl>
    <w:p w14:paraId="267FB500" w14:textId="77777777" w:rsidR="00566D06" w:rsidRPr="006C72E6" w:rsidRDefault="00566D06" w:rsidP="00DC5CE1">
      <w:pPr>
        <w:jc w:val="both"/>
        <w:rPr>
          <w:rFonts w:ascii="Arial" w:hAnsi="Arial" w:cs="Arial"/>
          <w:sz w:val="20"/>
          <w:szCs w:val="20"/>
        </w:rPr>
      </w:pPr>
    </w:p>
    <w:p w14:paraId="35F9DE6D" w14:textId="77777777" w:rsidR="005815CB" w:rsidRPr="006C72E6" w:rsidRDefault="005815CB" w:rsidP="00DC5CE1">
      <w:pPr>
        <w:spacing w:after="120"/>
        <w:jc w:val="both"/>
        <w:rPr>
          <w:rFonts w:ascii="Arial" w:hAnsi="Arial" w:cs="Arial"/>
          <w:b/>
          <w:bCs/>
          <w:sz w:val="20"/>
          <w:szCs w:val="20"/>
        </w:rPr>
      </w:pPr>
    </w:p>
    <w:p w14:paraId="0D1B8C2C" w14:textId="01FFFC2E" w:rsidR="00EB4F8D" w:rsidRDefault="00C6521D" w:rsidP="00DC5CE1">
      <w:pPr>
        <w:pStyle w:val="NormalWeb"/>
        <w:spacing w:before="0" w:beforeAutospacing="0" w:after="120" w:afterAutospacing="0"/>
        <w:jc w:val="both"/>
        <w:rPr>
          <w:rFonts w:ascii="Arial" w:hAnsi="Arial" w:cs="Arial"/>
          <w:b/>
          <w:bCs/>
          <w:kern w:val="16"/>
          <w:sz w:val="20"/>
          <w:szCs w:val="20"/>
          <w:u w:val="single"/>
        </w:rPr>
      </w:pPr>
      <w:r w:rsidRPr="00C6521D">
        <w:rPr>
          <w:rFonts w:ascii="Arial" w:hAnsi="Arial" w:cs="Arial"/>
          <w:b/>
          <w:bCs/>
          <w:kern w:val="16"/>
          <w:sz w:val="20"/>
          <w:szCs w:val="20"/>
          <w:u w:val="single"/>
        </w:rPr>
        <w:t>Επιταχυμένο Λειτουργικό Κεφάλαιο</w:t>
      </w:r>
    </w:p>
    <w:p w14:paraId="605C50AC" w14:textId="62E980E9" w:rsidR="00566D06" w:rsidRPr="006C72E6" w:rsidRDefault="00F628C4" w:rsidP="00DC5CE1">
      <w:pPr>
        <w:pStyle w:val="NormalWeb"/>
        <w:spacing w:before="0" w:beforeAutospacing="0" w:after="120" w:afterAutospacing="0"/>
        <w:jc w:val="both"/>
        <w:rPr>
          <w:rFonts w:ascii="Arial" w:hAnsi="Arial" w:cs="Arial"/>
          <w:sz w:val="20"/>
          <w:szCs w:val="20"/>
        </w:rPr>
      </w:pPr>
      <w:r>
        <w:rPr>
          <w:rFonts w:ascii="Arial" w:hAnsi="Arial" w:cs="Arial"/>
          <w:sz w:val="20"/>
          <w:szCs w:val="20"/>
        </w:rPr>
        <w:t xml:space="preserve">Η Εταιρεία </w:t>
      </w:r>
      <w:r w:rsidR="00262438">
        <w:rPr>
          <w:rFonts w:ascii="Arial" w:hAnsi="Arial" w:cs="Arial"/>
          <w:sz w:val="20"/>
          <w:szCs w:val="20"/>
        </w:rPr>
        <w:t>εξέτασε και βελτιστοποίησε</w:t>
      </w:r>
      <w:r w:rsidR="009B2DC8" w:rsidRPr="006C72E6">
        <w:rPr>
          <w:rFonts w:ascii="Arial" w:hAnsi="Arial" w:cs="Arial"/>
          <w:sz w:val="20"/>
          <w:szCs w:val="20"/>
        </w:rPr>
        <w:t xml:space="preserve"> τα σχέδια </w:t>
      </w:r>
      <w:r w:rsidR="00865C02">
        <w:rPr>
          <w:rFonts w:ascii="Arial" w:hAnsi="Arial" w:cs="Arial"/>
          <w:sz w:val="20"/>
          <w:szCs w:val="20"/>
        </w:rPr>
        <w:t>έναρξης της</w:t>
      </w:r>
      <w:r w:rsidR="009B2DC8" w:rsidRPr="006C72E6">
        <w:rPr>
          <w:rFonts w:ascii="Arial" w:hAnsi="Arial" w:cs="Arial"/>
          <w:sz w:val="20"/>
          <w:szCs w:val="20"/>
        </w:rPr>
        <w:t xml:space="preserve"> παραγωγής </w:t>
      </w:r>
      <w:r w:rsidR="0067537C">
        <w:rPr>
          <w:rFonts w:ascii="Arial" w:hAnsi="Arial" w:cs="Arial"/>
          <w:sz w:val="20"/>
          <w:szCs w:val="20"/>
        </w:rPr>
        <w:t>του ανοιχτού ορύγματος</w:t>
      </w:r>
      <w:r w:rsidR="009B2DC8" w:rsidRPr="006C72E6">
        <w:rPr>
          <w:rFonts w:ascii="Arial" w:hAnsi="Arial" w:cs="Arial"/>
          <w:sz w:val="20"/>
          <w:szCs w:val="20"/>
        </w:rPr>
        <w:t xml:space="preserve"> και</w:t>
      </w:r>
      <w:r w:rsidR="0067537C">
        <w:rPr>
          <w:rFonts w:ascii="Arial" w:hAnsi="Arial" w:cs="Arial"/>
          <w:sz w:val="20"/>
          <w:szCs w:val="20"/>
        </w:rPr>
        <w:t xml:space="preserve"> του</w:t>
      </w:r>
      <w:r w:rsidR="009B2DC8" w:rsidRPr="006C72E6">
        <w:rPr>
          <w:rFonts w:ascii="Arial" w:hAnsi="Arial" w:cs="Arial"/>
          <w:sz w:val="20"/>
          <w:szCs w:val="20"/>
        </w:rPr>
        <w:t xml:space="preserve"> υπόγει</w:t>
      </w:r>
      <w:r w:rsidR="0067537C">
        <w:rPr>
          <w:rFonts w:ascii="Arial" w:hAnsi="Arial" w:cs="Arial"/>
          <w:sz w:val="20"/>
          <w:szCs w:val="20"/>
        </w:rPr>
        <w:t>ου μεταλλείου</w:t>
      </w:r>
      <w:r w:rsidR="009B2DC8" w:rsidRPr="006C72E6">
        <w:rPr>
          <w:rFonts w:ascii="Arial" w:hAnsi="Arial" w:cs="Arial"/>
          <w:sz w:val="20"/>
          <w:szCs w:val="20"/>
        </w:rPr>
        <w:t>. Με την εμπορική παραγωγή να αναμένεται στα μέσα του 2026, η Εταιρεία αναμένει να επιβαρυνθεί με πρόσθετ</w:t>
      </w:r>
      <w:r w:rsidR="00BD3CE4">
        <w:rPr>
          <w:rFonts w:ascii="Arial" w:hAnsi="Arial" w:cs="Arial"/>
          <w:sz w:val="20"/>
          <w:szCs w:val="20"/>
        </w:rPr>
        <w:t>α</w:t>
      </w:r>
      <w:r w:rsidR="009B2DC8" w:rsidRPr="006C72E6">
        <w:rPr>
          <w:rFonts w:ascii="Arial" w:hAnsi="Arial" w:cs="Arial"/>
          <w:sz w:val="20"/>
          <w:szCs w:val="20"/>
        </w:rPr>
        <w:t xml:space="preserve"> κόστ</w:t>
      </w:r>
      <w:r w:rsidR="00BD3CE4">
        <w:rPr>
          <w:rFonts w:ascii="Arial" w:hAnsi="Arial" w:cs="Arial"/>
          <w:sz w:val="20"/>
          <w:szCs w:val="20"/>
        </w:rPr>
        <w:t>η</w:t>
      </w:r>
      <w:r w:rsidR="009B2DC8" w:rsidRPr="006C72E6">
        <w:rPr>
          <w:rFonts w:ascii="Arial" w:hAnsi="Arial" w:cs="Arial"/>
          <w:sz w:val="20"/>
          <w:szCs w:val="20"/>
        </w:rPr>
        <w:t xml:space="preserve"> </w:t>
      </w:r>
      <w:r w:rsidR="00865C02">
        <w:rPr>
          <w:rFonts w:ascii="Arial" w:hAnsi="Arial" w:cs="Arial"/>
          <w:sz w:val="20"/>
          <w:szCs w:val="20"/>
        </w:rPr>
        <w:t>παραγωγής</w:t>
      </w:r>
      <w:r w:rsidR="009B2DC8" w:rsidRPr="006C72E6">
        <w:rPr>
          <w:rFonts w:ascii="Arial" w:hAnsi="Arial" w:cs="Arial"/>
          <w:sz w:val="20"/>
          <w:szCs w:val="20"/>
        </w:rPr>
        <w:t xml:space="preserve"> </w:t>
      </w:r>
      <w:r w:rsidR="00262438">
        <w:rPr>
          <w:rFonts w:ascii="Arial" w:hAnsi="Arial" w:cs="Arial"/>
          <w:sz w:val="20"/>
          <w:szCs w:val="20"/>
        </w:rPr>
        <w:t>μέχρι την εμπορική παραγω</w:t>
      </w:r>
      <w:r w:rsidR="00BD3CE4">
        <w:rPr>
          <w:rFonts w:ascii="Arial" w:hAnsi="Arial" w:cs="Arial"/>
          <w:sz w:val="20"/>
          <w:szCs w:val="20"/>
        </w:rPr>
        <w:t>γ</w:t>
      </w:r>
      <w:r w:rsidR="00262438">
        <w:rPr>
          <w:rFonts w:ascii="Arial" w:hAnsi="Arial" w:cs="Arial"/>
          <w:sz w:val="20"/>
          <w:szCs w:val="20"/>
        </w:rPr>
        <w:t>ή</w:t>
      </w:r>
      <w:r w:rsidR="009B2DC8" w:rsidRPr="006C72E6">
        <w:rPr>
          <w:rFonts w:ascii="Arial" w:hAnsi="Arial" w:cs="Arial"/>
          <w:sz w:val="20"/>
          <w:szCs w:val="20"/>
        </w:rPr>
        <w:t xml:space="preserve"> ύψους περίπου 15</w:t>
      </w:r>
      <w:r w:rsidR="00BD3CE4">
        <w:rPr>
          <w:rFonts w:ascii="Arial" w:hAnsi="Arial" w:cs="Arial"/>
          <w:sz w:val="20"/>
          <w:szCs w:val="20"/>
        </w:rPr>
        <w:t>4</w:t>
      </w:r>
      <w:r w:rsidR="009B2DC8" w:rsidRPr="006C72E6">
        <w:rPr>
          <w:rFonts w:ascii="Arial" w:hAnsi="Arial" w:cs="Arial"/>
          <w:sz w:val="20"/>
          <w:szCs w:val="20"/>
        </w:rPr>
        <w:t xml:space="preserve"> εκατομμυρίων δολαρίων. Αυτές οι </w:t>
      </w:r>
      <w:r w:rsidR="0033756A">
        <w:rPr>
          <w:rFonts w:ascii="Arial" w:hAnsi="Arial" w:cs="Arial"/>
          <w:sz w:val="20"/>
          <w:szCs w:val="20"/>
        </w:rPr>
        <w:t>επιταχυμένες λειτουργικές</w:t>
      </w:r>
      <w:r w:rsidR="009B2DC8" w:rsidRPr="006C72E6">
        <w:rPr>
          <w:rFonts w:ascii="Arial" w:hAnsi="Arial" w:cs="Arial"/>
          <w:sz w:val="20"/>
          <w:szCs w:val="20"/>
        </w:rPr>
        <w:t xml:space="preserve"> δαπάνες αντικατοπτρίζουν τα εξής:</w:t>
      </w:r>
    </w:p>
    <w:p w14:paraId="508FAD67" w14:textId="453FD78C" w:rsidR="00566D06" w:rsidRPr="006C72E6" w:rsidRDefault="449CA7E7" w:rsidP="00AF21B1">
      <w:pPr>
        <w:numPr>
          <w:ilvl w:val="0"/>
          <w:numId w:val="15"/>
        </w:numPr>
        <w:spacing w:after="120"/>
        <w:jc w:val="both"/>
        <w:rPr>
          <w:rFonts w:ascii="Arial" w:hAnsi="Arial" w:cs="Arial"/>
          <w:sz w:val="20"/>
          <w:szCs w:val="20"/>
        </w:rPr>
      </w:pPr>
      <w:r w:rsidRPr="5DCFEED2">
        <w:rPr>
          <w:rStyle w:val="Strong"/>
          <w:rFonts w:ascii="Arial" w:hAnsi="Arial" w:cs="Arial"/>
          <w:sz w:val="20"/>
          <w:szCs w:val="20"/>
        </w:rPr>
        <w:t>Π</w:t>
      </w:r>
      <w:r w:rsidR="00543EE7" w:rsidRPr="5DCFEED2">
        <w:rPr>
          <w:rStyle w:val="Strong"/>
          <w:rFonts w:ascii="Arial" w:hAnsi="Arial" w:cs="Arial"/>
          <w:sz w:val="20"/>
          <w:szCs w:val="20"/>
        </w:rPr>
        <w:t>αραγωγή</w:t>
      </w:r>
      <w:r w:rsidR="41A4DBDC" w:rsidRPr="7BDE33D3">
        <w:rPr>
          <w:rStyle w:val="Strong"/>
          <w:rFonts w:ascii="Arial" w:hAnsi="Arial" w:cs="Arial"/>
          <w:sz w:val="20"/>
          <w:szCs w:val="20"/>
        </w:rPr>
        <w:t xml:space="preserve"> προ</w:t>
      </w:r>
      <w:r w:rsidR="00877281">
        <w:rPr>
          <w:rStyle w:val="Strong"/>
          <w:rFonts w:ascii="Arial" w:hAnsi="Arial" w:cs="Arial"/>
          <w:sz w:val="20"/>
          <w:szCs w:val="20"/>
        </w:rPr>
        <w:t>-</w:t>
      </w:r>
      <w:r w:rsidR="41A4DBDC" w:rsidRPr="7BDE33D3">
        <w:rPr>
          <w:rStyle w:val="Strong"/>
          <w:rFonts w:ascii="Arial" w:hAnsi="Arial" w:cs="Arial"/>
          <w:sz w:val="20"/>
          <w:szCs w:val="20"/>
        </w:rPr>
        <w:t>εμπορικής λειτουργίας</w:t>
      </w:r>
      <w:r w:rsidR="00566D06" w:rsidRPr="7BDE33D3">
        <w:rPr>
          <w:rStyle w:val="Strong"/>
          <w:rFonts w:ascii="Arial" w:hAnsi="Arial" w:cs="Arial"/>
          <w:sz w:val="20"/>
          <w:szCs w:val="20"/>
        </w:rPr>
        <w:t>:</w:t>
      </w:r>
      <w:r w:rsidR="00566D06" w:rsidRPr="006C72E6">
        <w:rPr>
          <w:rStyle w:val="Strong"/>
          <w:rFonts w:ascii="Arial" w:hAnsi="Arial" w:cs="Arial"/>
          <w:sz w:val="20"/>
          <w:szCs w:val="20"/>
        </w:rPr>
        <w:t xml:space="preserve"> </w:t>
      </w:r>
      <w:r w:rsidR="00566D06" w:rsidRPr="00543EE7">
        <w:rPr>
          <w:rStyle w:val="Strong"/>
          <w:rFonts w:ascii="Arial" w:hAnsi="Arial" w:cs="Arial"/>
          <w:b w:val="0"/>
          <w:bCs w:val="0"/>
          <w:sz w:val="20"/>
          <w:szCs w:val="20"/>
        </w:rPr>
        <w:t>Η Εταιρεία</w:t>
      </w:r>
      <w:r w:rsidR="00566D06" w:rsidRPr="006C72E6">
        <w:rPr>
          <w:rStyle w:val="Strong"/>
          <w:rFonts w:ascii="Arial" w:hAnsi="Arial" w:cs="Arial"/>
          <w:sz w:val="20"/>
          <w:szCs w:val="20"/>
        </w:rPr>
        <w:t xml:space="preserve"> </w:t>
      </w:r>
      <w:r w:rsidR="00EC583F" w:rsidRPr="006C72E6">
        <w:rPr>
          <w:rFonts w:ascii="Arial" w:hAnsi="Arial" w:cs="Arial"/>
          <w:sz w:val="20"/>
          <w:szCs w:val="20"/>
        </w:rPr>
        <w:t xml:space="preserve">συνεχίζει να προχωρά </w:t>
      </w:r>
      <w:r w:rsidR="00840B21">
        <w:rPr>
          <w:rFonts w:ascii="Arial" w:hAnsi="Arial" w:cs="Arial"/>
          <w:sz w:val="20"/>
          <w:szCs w:val="20"/>
        </w:rPr>
        <w:t xml:space="preserve">στην προετοιμασία της φάσης </w:t>
      </w:r>
      <w:r w:rsidR="00FF5195">
        <w:rPr>
          <w:rFonts w:ascii="Arial" w:hAnsi="Arial" w:cs="Arial"/>
          <w:sz w:val="20"/>
          <w:szCs w:val="20"/>
        </w:rPr>
        <w:t>παραγωγής</w:t>
      </w:r>
      <w:r w:rsidR="00EC583F" w:rsidRPr="006C72E6">
        <w:rPr>
          <w:rFonts w:ascii="Arial" w:hAnsi="Arial" w:cs="Arial"/>
          <w:sz w:val="20"/>
          <w:szCs w:val="20"/>
        </w:rPr>
        <w:t xml:space="preserve"> και αναμένει να </w:t>
      </w:r>
      <w:r w:rsidR="00840B21">
        <w:rPr>
          <w:rFonts w:ascii="Arial" w:hAnsi="Arial" w:cs="Arial"/>
          <w:sz w:val="20"/>
          <w:szCs w:val="20"/>
        </w:rPr>
        <w:t>υλοποιήσει</w:t>
      </w:r>
      <w:r w:rsidR="00EC583F" w:rsidRPr="006C72E6">
        <w:rPr>
          <w:rFonts w:ascii="Arial" w:hAnsi="Arial" w:cs="Arial"/>
          <w:sz w:val="20"/>
          <w:szCs w:val="20"/>
        </w:rPr>
        <w:t xml:space="preserve"> πρόσθετη παραγωγή </w:t>
      </w:r>
      <w:r w:rsidR="0FD5E23B" w:rsidRPr="7BDE33D3">
        <w:rPr>
          <w:rFonts w:ascii="Arial" w:hAnsi="Arial" w:cs="Arial"/>
          <w:sz w:val="20"/>
          <w:szCs w:val="20"/>
        </w:rPr>
        <w:t>προ</w:t>
      </w:r>
      <w:r w:rsidR="00877281">
        <w:rPr>
          <w:rFonts w:ascii="Arial" w:hAnsi="Arial" w:cs="Arial"/>
          <w:sz w:val="20"/>
          <w:szCs w:val="20"/>
        </w:rPr>
        <w:t>-</w:t>
      </w:r>
      <w:r w:rsidR="0FD5E23B" w:rsidRPr="7BDE33D3">
        <w:rPr>
          <w:rFonts w:ascii="Arial" w:hAnsi="Arial" w:cs="Arial"/>
          <w:sz w:val="20"/>
          <w:szCs w:val="20"/>
        </w:rPr>
        <w:t xml:space="preserve">εμπορικής </w:t>
      </w:r>
      <w:r w:rsidR="0FD5E23B" w:rsidRPr="6BF46377">
        <w:rPr>
          <w:rFonts w:ascii="Arial" w:hAnsi="Arial" w:cs="Arial"/>
          <w:sz w:val="20"/>
          <w:szCs w:val="20"/>
        </w:rPr>
        <w:t xml:space="preserve">λειτουργίας </w:t>
      </w:r>
      <w:r w:rsidR="00EC583F" w:rsidRPr="6BF46377">
        <w:rPr>
          <w:rFonts w:ascii="Arial" w:hAnsi="Arial" w:cs="Arial"/>
          <w:sz w:val="20"/>
          <w:szCs w:val="20"/>
        </w:rPr>
        <w:t>τόσο</w:t>
      </w:r>
      <w:r w:rsidR="00EC583F" w:rsidRPr="006C72E6">
        <w:rPr>
          <w:rFonts w:ascii="Arial" w:hAnsi="Arial" w:cs="Arial"/>
          <w:sz w:val="20"/>
          <w:szCs w:val="20"/>
        </w:rPr>
        <w:t xml:space="preserve"> στ</w:t>
      </w:r>
      <w:r w:rsidR="00FF5195">
        <w:rPr>
          <w:rFonts w:ascii="Arial" w:hAnsi="Arial" w:cs="Arial"/>
          <w:sz w:val="20"/>
          <w:szCs w:val="20"/>
        </w:rPr>
        <w:t>ο</w:t>
      </w:r>
      <w:r w:rsidR="00EC583F" w:rsidRPr="006C72E6">
        <w:rPr>
          <w:rFonts w:ascii="Arial" w:hAnsi="Arial" w:cs="Arial"/>
          <w:sz w:val="20"/>
          <w:szCs w:val="20"/>
        </w:rPr>
        <w:t xml:space="preserve"> ανοι</w:t>
      </w:r>
      <w:r w:rsidR="00D90D29">
        <w:rPr>
          <w:rFonts w:ascii="Arial" w:hAnsi="Arial" w:cs="Arial"/>
          <w:sz w:val="20"/>
          <w:szCs w:val="20"/>
        </w:rPr>
        <w:t>χτό όρυγμα</w:t>
      </w:r>
      <w:r w:rsidR="00EC583F" w:rsidRPr="006C72E6">
        <w:rPr>
          <w:rFonts w:ascii="Arial" w:hAnsi="Arial" w:cs="Arial"/>
          <w:sz w:val="20"/>
          <w:szCs w:val="20"/>
        </w:rPr>
        <w:t xml:space="preserve"> όσο και στ</w:t>
      </w:r>
      <w:r w:rsidR="00D90D29">
        <w:rPr>
          <w:rFonts w:ascii="Arial" w:hAnsi="Arial" w:cs="Arial"/>
          <w:sz w:val="20"/>
          <w:szCs w:val="20"/>
        </w:rPr>
        <w:t xml:space="preserve">ο </w:t>
      </w:r>
      <w:r w:rsidR="00EC583F" w:rsidRPr="006C72E6">
        <w:rPr>
          <w:rFonts w:ascii="Arial" w:hAnsi="Arial" w:cs="Arial"/>
          <w:sz w:val="20"/>
          <w:szCs w:val="20"/>
        </w:rPr>
        <w:t>υπόγει</w:t>
      </w:r>
      <w:r w:rsidR="00D90D29">
        <w:rPr>
          <w:rFonts w:ascii="Arial" w:hAnsi="Arial" w:cs="Arial"/>
          <w:sz w:val="20"/>
          <w:szCs w:val="20"/>
        </w:rPr>
        <w:t>ο μεταλλείο</w:t>
      </w:r>
      <w:r w:rsidR="00EC583F" w:rsidRPr="006C72E6">
        <w:rPr>
          <w:rFonts w:ascii="Arial" w:hAnsi="Arial" w:cs="Arial"/>
          <w:sz w:val="20"/>
          <w:szCs w:val="20"/>
        </w:rPr>
        <w:t xml:space="preserve">. Αυτό θα </w:t>
      </w:r>
      <w:r w:rsidR="00F251D4">
        <w:rPr>
          <w:rFonts w:ascii="Arial" w:hAnsi="Arial" w:cs="Arial"/>
          <w:sz w:val="20"/>
          <w:szCs w:val="20"/>
        </w:rPr>
        <w:t>εξασφαλίσει</w:t>
      </w:r>
      <w:r w:rsidR="00EC583F" w:rsidRPr="006C72E6">
        <w:rPr>
          <w:rFonts w:ascii="Arial" w:hAnsi="Arial" w:cs="Arial"/>
          <w:sz w:val="20"/>
          <w:szCs w:val="20"/>
        </w:rPr>
        <w:t xml:space="preserve"> </w:t>
      </w:r>
      <w:r w:rsidR="00CD48CE">
        <w:rPr>
          <w:rFonts w:ascii="Arial" w:hAnsi="Arial" w:cs="Arial"/>
          <w:sz w:val="20"/>
          <w:szCs w:val="20"/>
        </w:rPr>
        <w:t xml:space="preserve">την </w:t>
      </w:r>
      <w:r w:rsidR="00877281">
        <w:rPr>
          <w:rFonts w:ascii="Arial" w:hAnsi="Arial" w:cs="Arial"/>
          <w:sz w:val="20"/>
          <w:szCs w:val="20"/>
        </w:rPr>
        <w:t>απρόσκοπτη</w:t>
      </w:r>
      <w:r w:rsidR="00CD48CE">
        <w:rPr>
          <w:rFonts w:ascii="Arial" w:hAnsi="Arial" w:cs="Arial"/>
          <w:sz w:val="20"/>
          <w:szCs w:val="20"/>
        </w:rPr>
        <w:t xml:space="preserve"> λειτουργία των</w:t>
      </w:r>
      <w:r w:rsidR="00EC583F" w:rsidRPr="006C72E6">
        <w:rPr>
          <w:rFonts w:ascii="Arial" w:hAnsi="Arial" w:cs="Arial"/>
          <w:sz w:val="20"/>
          <w:szCs w:val="20"/>
        </w:rPr>
        <w:t xml:space="preserve"> ομάδ</w:t>
      </w:r>
      <w:r w:rsidR="00CD48CE">
        <w:rPr>
          <w:rFonts w:ascii="Arial" w:hAnsi="Arial" w:cs="Arial"/>
          <w:sz w:val="20"/>
          <w:szCs w:val="20"/>
        </w:rPr>
        <w:t xml:space="preserve">ων </w:t>
      </w:r>
      <w:r w:rsidR="00ED5EA5">
        <w:rPr>
          <w:rFonts w:ascii="Arial" w:hAnsi="Arial" w:cs="Arial"/>
          <w:sz w:val="20"/>
          <w:szCs w:val="20"/>
        </w:rPr>
        <w:t>παραγωγής</w:t>
      </w:r>
      <w:r w:rsidR="00EC583F" w:rsidRPr="006C72E6">
        <w:rPr>
          <w:rFonts w:ascii="Arial" w:hAnsi="Arial" w:cs="Arial"/>
          <w:sz w:val="20"/>
          <w:szCs w:val="20"/>
        </w:rPr>
        <w:t xml:space="preserve"> και ταχύτερη πρόσβαση σε μεταλλεύματα υψηλότερης ποιότητας, επιτρέποντας στον μύλο να επεξεργάζεται υλικ</w:t>
      </w:r>
      <w:r w:rsidR="00CD48CE">
        <w:rPr>
          <w:rFonts w:ascii="Arial" w:hAnsi="Arial" w:cs="Arial"/>
          <w:sz w:val="20"/>
          <w:szCs w:val="20"/>
        </w:rPr>
        <w:t>ό</w:t>
      </w:r>
      <w:r w:rsidR="00EC583F" w:rsidRPr="006C72E6">
        <w:rPr>
          <w:rFonts w:ascii="Arial" w:hAnsi="Arial" w:cs="Arial"/>
          <w:sz w:val="20"/>
          <w:szCs w:val="20"/>
        </w:rPr>
        <w:t xml:space="preserve"> υψηλότερης ποιότητας </w:t>
      </w:r>
      <w:r w:rsidR="009325C5">
        <w:rPr>
          <w:rFonts w:ascii="Arial" w:hAnsi="Arial" w:cs="Arial"/>
          <w:sz w:val="20"/>
          <w:szCs w:val="20"/>
        </w:rPr>
        <w:t>εντός του 2026</w:t>
      </w:r>
      <w:r w:rsidR="00EC583F" w:rsidRPr="006C72E6">
        <w:rPr>
          <w:rFonts w:ascii="Arial" w:hAnsi="Arial" w:cs="Arial"/>
          <w:sz w:val="20"/>
          <w:szCs w:val="20"/>
        </w:rPr>
        <w:t xml:space="preserve">. </w:t>
      </w:r>
      <w:r w:rsidR="00922561">
        <w:rPr>
          <w:rFonts w:ascii="Arial" w:hAnsi="Arial" w:cs="Arial"/>
          <w:sz w:val="20"/>
          <w:szCs w:val="20"/>
        </w:rPr>
        <w:t xml:space="preserve">Ο σχεδιασμός </w:t>
      </w:r>
      <w:r w:rsidR="00EC583F" w:rsidRPr="006C72E6">
        <w:rPr>
          <w:rFonts w:ascii="Arial" w:hAnsi="Arial" w:cs="Arial"/>
          <w:sz w:val="20"/>
          <w:szCs w:val="20"/>
        </w:rPr>
        <w:t>αυτό</w:t>
      </w:r>
      <w:r w:rsidR="00C4351C">
        <w:rPr>
          <w:rFonts w:ascii="Arial" w:hAnsi="Arial" w:cs="Arial"/>
          <w:sz w:val="20"/>
          <w:szCs w:val="20"/>
        </w:rPr>
        <w:t>ς</w:t>
      </w:r>
      <w:r w:rsidR="00EC583F" w:rsidRPr="006C72E6">
        <w:rPr>
          <w:rFonts w:ascii="Arial" w:hAnsi="Arial" w:cs="Arial"/>
          <w:sz w:val="20"/>
          <w:szCs w:val="20"/>
        </w:rPr>
        <w:t xml:space="preserve"> αναμένεται να </w:t>
      </w:r>
      <w:r w:rsidR="00B64AB5">
        <w:rPr>
          <w:rFonts w:ascii="Arial" w:hAnsi="Arial" w:cs="Arial"/>
          <w:sz w:val="20"/>
          <w:szCs w:val="20"/>
        </w:rPr>
        <w:t>αποδώσει</w:t>
      </w:r>
      <w:r w:rsidR="00EC583F" w:rsidRPr="006C72E6">
        <w:rPr>
          <w:rFonts w:ascii="Arial" w:hAnsi="Arial" w:cs="Arial"/>
          <w:sz w:val="20"/>
          <w:szCs w:val="20"/>
        </w:rPr>
        <w:t xml:space="preserve"> όγκους παραγωγής χρυσού και χαλκού το 2026 σύμφωνα με την προηγούμενη </w:t>
      </w:r>
      <w:r w:rsidR="00C4351C">
        <w:rPr>
          <w:rFonts w:ascii="Arial" w:hAnsi="Arial" w:cs="Arial"/>
          <w:sz w:val="20"/>
          <w:szCs w:val="20"/>
        </w:rPr>
        <w:t>πρόβλεψη</w:t>
      </w:r>
      <w:r w:rsidR="00EC583F" w:rsidRPr="006C72E6">
        <w:rPr>
          <w:rFonts w:ascii="Arial" w:hAnsi="Arial" w:cs="Arial"/>
          <w:sz w:val="20"/>
          <w:szCs w:val="20"/>
        </w:rPr>
        <w:t>.</w:t>
      </w:r>
    </w:p>
    <w:p w14:paraId="32FC16DE" w14:textId="4CD4976A" w:rsidR="00566D06" w:rsidRPr="006C72E6" w:rsidRDefault="252463F1" w:rsidP="00AF21B1">
      <w:pPr>
        <w:numPr>
          <w:ilvl w:val="0"/>
          <w:numId w:val="15"/>
        </w:numPr>
        <w:spacing w:after="120"/>
        <w:jc w:val="both"/>
        <w:rPr>
          <w:rFonts w:ascii="Arial" w:hAnsi="Arial" w:cs="Arial"/>
          <w:sz w:val="20"/>
          <w:szCs w:val="20"/>
        </w:rPr>
      </w:pPr>
      <w:r w:rsidRPr="00B622FF">
        <w:rPr>
          <w:rStyle w:val="Strong"/>
          <w:rFonts w:ascii="Arial" w:hAnsi="Arial" w:cs="Arial"/>
          <w:sz w:val="20"/>
          <w:szCs w:val="20"/>
        </w:rPr>
        <w:t>Επιφανειακή</w:t>
      </w:r>
      <w:r w:rsidRPr="6C6F8E1A">
        <w:rPr>
          <w:rStyle w:val="Strong"/>
          <w:rFonts w:ascii="Arial" w:hAnsi="Arial" w:cs="Arial"/>
          <w:sz w:val="20"/>
          <w:szCs w:val="20"/>
        </w:rPr>
        <w:t xml:space="preserve"> </w:t>
      </w:r>
      <w:r w:rsidR="00E40D92" w:rsidRPr="6C6F8E1A">
        <w:rPr>
          <w:rStyle w:val="Strong"/>
          <w:rFonts w:ascii="Arial" w:hAnsi="Arial" w:cs="Arial"/>
          <w:sz w:val="20"/>
          <w:szCs w:val="20"/>
        </w:rPr>
        <w:t>Εξόρυξη</w:t>
      </w:r>
      <w:r w:rsidR="00566D06" w:rsidRPr="006C72E6">
        <w:rPr>
          <w:rStyle w:val="Strong"/>
          <w:rFonts w:ascii="Arial" w:hAnsi="Arial" w:cs="Arial"/>
          <w:b w:val="0"/>
          <w:bCs w:val="0"/>
          <w:sz w:val="20"/>
          <w:szCs w:val="20"/>
        </w:rPr>
        <w:t>:</w:t>
      </w:r>
      <w:r w:rsidR="00566D06" w:rsidRPr="006C72E6">
        <w:rPr>
          <w:rFonts w:ascii="Arial" w:hAnsi="Arial" w:cs="Arial"/>
          <w:sz w:val="20"/>
          <w:szCs w:val="20"/>
        </w:rPr>
        <w:t xml:space="preserve"> </w:t>
      </w:r>
      <w:r w:rsidR="00131187">
        <w:rPr>
          <w:rFonts w:ascii="Arial" w:hAnsi="Arial" w:cs="Arial"/>
          <w:sz w:val="20"/>
          <w:szCs w:val="20"/>
        </w:rPr>
        <w:t xml:space="preserve">Οι </w:t>
      </w:r>
      <w:r w:rsidR="002A2F96">
        <w:rPr>
          <w:rFonts w:ascii="Arial" w:hAnsi="Arial" w:cs="Arial"/>
          <w:sz w:val="20"/>
          <w:szCs w:val="20"/>
        </w:rPr>
        <w:t>μελέτες αντιστάθμισης</w:t>
      </w:r>
      <w:r w:rsidR="00566D06" w:rsidRPr="006C72E6">
        <w:rPr>
          <w:rFonts w:ascii="Arial" w:hAnsi="Arial" w:cs="Arial"/>
          <w:sz w:val="20"/>
          <w:szCs w:val="20"/>
        </w:rPr>
        <w:t xml:space="preserve"> για το ανοι</w:t>
      </w:r>
      <w:r w:rsidR="00AE4718">
        <w:rPr>
          <w:rFonts w:ascii="Arial" w:hAnsi="Arial" w:cs="Arial"/>
          <w:sz w:val="20"/>
          <w:szCs w:val="20"/>
        </w:rPr>
        <w:t>χ</w:t>
      </w:r>
      <w:r w:rsidR="00566D06" w:rsidRPr="006C72E6">
        <w:rPr>
          <w:rFonts w:ascii="Arial" w:hAnsi="Arial" w:cs="Arial"/>
          <w:sz w:val="20"/>
          <w:szCs w:val="20"/>
        </w:rPr>
        <w:t xml:space="preserve">τό </w:t>
      </w:r>
      <w:r w:rsidR="005C0144">
        <w:rPr>
          <w:rFonts w:ascii="Arial" w:hAnsi="Arial" w:cs="Arial"/>
          <w:sz w:val="20"/>
          <w:szCs w:val="20"/>
        </w:rPr>
        <w:t>όρυγμα</w:t>
      </w:r>
      <w:r w:rsidR="00566D06" w:rsidRPr="006C72E6">
        <w:rPr>
          <w:rFonts w:ascii="Arial" w:hAnsi="Arial" w:cs="Arial"/>
          <w:sz w:val="20"/>
          <w:szCs w:val="20"/>
        </w:rPr>
        <w:t xml:space="preserve"> υποστηρίζουν την ταχύτερη μετάβαση </w:t>
      </w:r>
      <w:r w:rsidR="00E07A2F">
        <w:rPr>
          <w:rFonts w:ascii="Arial" w:hAnsi="Arial" w:cs="Arial"/>
          <w:sz w:val="20"/>
          <w:szCs w:val="20"/>
        </w:rPr>
        <w:t xml:space="preserve">σε ένα μοντέλο παραγωγής </w:t>
      </w:r>
      <w:r w:rsidR="007C5CFC">
        <w:rPr>
          <w:rFonts w:ascii="Arial" w:hAnsi="Arial" w:cs="Arial"/>
          <w:sz w:val="20"/>
          <w:szCs w:val="20"/>
        </w:rPr>
        <w:t xml:space="preserve">και λειτουργίας </w:t>
      </w:r>
      <w:r w:rsidR="00E07A2F">
        <w:rPr>
          <w:rFonts w:ascii="Arial" w:hAnsi="Arial" w:cs="Arial"/>
          <w:sz w:val="20"/>
          <w:szCs w:val="20"/>
        </w:rPr>
        <w:t xml:space="preserve">με ιδίους πόρους </w:t>
      </w:r>
      <w:r w:rsidR="00B13034">
        <w:rPr>
          <w:rFonts w:ascii="Arial" w:hAnsi="Arial" w:cs="Arial"/>
          <w:sz w:val="20"/>
          <w:szCs w:val="20"/>
        </w:rPr>
        <w:t>αντί των συμβάσεων έργου</w:t>
      </w:r>
      <w:r w:rsidR="00566D06" w:rsidRPr="006C72E6">
        <w:rPr>
          <w:rFonts w:ascii="Arial" w:hAnsi="Arial" w:cs="Arial"/>
          <w:sz w:val="20"/>
          <w:szCs w:val="20"/>
        </w:rPr>
        <w:t xml:space="preserve">. Αυτό έχει επιταχύνει την αγορά κινητού εξοπλισμού υψηλότερης </w:t>
      </w:r>
      <w:r w:rsidR="00B13034">
        <w:rPr>
          <w:rFonts w:ascii="Arial" w:hAnsi="Arial" w:cs="Arial"/>
          <w:sz w:val="20"/>
          <w:szCs w:val="20"/>
        </w:rPr>
        <w:t>δυναμικότητας</w:t>
      </w:r>
      <w:r w:rsidR="00566D06" w:rsidRPr="006C72E6">
        <w:rPr>
          <w:rFonts w:ascii="Arial" w:hAnsi="Arial" w:cs="Arial"/>
          <w:sz w:val="20"/>
          <w:szCs w:val="20"/>
        </w:rPr>
        <w:t xml:space="preserve">, συμπεριλαμβανομένων πέντε φορτηγών έλξης Cat 777 και τριών πρόσθετων μονάδων φόρτωσης. Ο συνδυασμός των μεγαλύτερων φορτηγών μεταφοράς 100 τόνων </w:t>
      </w:r>
      <w:r w:rsidR="006125D3">
        <w:rPr>
          <w:rFonts w:ascii="Arial" w:hAnsi="Arial" w:cs="Arial"/>
          <w:sz w:val="20"/>
          <w:szCs w:val="20"/>
        </w:rPr>
        <w:t>-</w:t>
      </w:r>
      <w:r w:rsidR="00566D06" w:rsidRPr="006C72E6">
        <w:rPr>
          <w:rFonts w:ascii="Arial" w:hAnsi="Arial" w:cs="Arial"/>
          <w:sz w:val="20"/>
          <w:szCs w:val="20"/>
        </w:rPr>
        <w:t>έναντι του στόλου φορτηγών μεταφοράς 20 τόνων που απαιτούνται για την κατασκευή τεχνικών έργων</w:t>
      </w:r>
      <w:r w:rsidR="006125D3">
        <w:rPr>
          <w:rFonts w:ascii="Arial" w:hAnsi="Arial" w:cs="Arial"/>
          <w:sz w:val="20"/>
          <w:szCs w:val="20"/>
        </w:rPr>
        <w:t>-</w:t>
      </w:r>
      <w:r w:rsidR="00566D06" w:rsidRPr="006C72E6">
        <w:rPr>
          <w:rFonts w:ascii="Arial" w:hAnsi="Arial" w:cs="Arial"/>
          <w:sz w:val="20"/>
          <w:szCs w:val="20"/>
        </w:rPr>
        <w:t xml:space="preserve"> και τη</w:t>
      </w:r>
      <w:r w:rsidR="006125D3">
        <w:rPr>
          <w:rFonts w:ascii="Arial" w:hAnsi="Arial" w:cs="Arial"/>
          <w:sz w:val="20"/>
          <w:szCs w:val="20"/>
        </w:rPr>
        <w:t>ς</w:t>
      </w:r>
      <w:r w:rsidR="00566D06" w:rsidRPr="006C72E6">
        <w:rPr>
          <w:rFonts w:ascii="Arial" w:hAnsi="Arial" w:cs="Arial"/>
          <w:sz w:val="20"/>
          <w:szCs w:val="20"/>
        </w:rPr>
        <w:t xml:space="preserve"> μετάβαση</w:t>
      </w:r>
      <w:r w:rsidR="006125D3">
        <w:rPr>
          <w:rFonts w:ascii="Arial" w:hAnsi="Arial" w:cs="Arial"/>
          <w:sz w:val="20"/>
          <w:szCs w:val="20"/>
        </w:rPr>
        <w:t>ς</w:t>
      </w:r>
      <w:r w:rsidR="00566D06" w:rsidRPr="006C72E6">
        <w:rPr>
          <w:rFonts w:ascii="Arial" w:hAnsi="Arial" w:cs="Arial"/>
          <w:sz w:val="20"/>
          <w:szCs w:val="20"/>
        </w:rPr>
        <w:t xml:space="preserve"> σε ένα μοντέλο </w:t>
      </w:r>
      <w:r w:rsidR="00215164">
        <w:rPr>
          <w:rFonts w:ascii="Arial" w:hAnsi="Arial" w:cs="Arial"/>
          <w:sz w:val="20"/>
          <w:szCs w:val="20"/>
        </w:rPr>
        <w:t>λειτουργίας</w:t>
      </w:r>
      <w:r w:rsidR="00566D06" w:rsidRPr="006C72E6">
        <w:rPr>
          <w:rFonts w:ascii="Arial" w:hAnsi="Arial" w:cs="Arial"/>
          <w:sz w:val="20"/>
          <w:szCs w:val="20"/>
        </w:rPr>
        <w:t xml:space="preserve"> </w:t>
      </w:r>
      <w:r w:rsidR="471484EE" w:rsidRPr="25D987CB">
        <w:rPr>
          <w:rFonts w:ascii="Arial" w:hAnsi="Arial" w:cs="Arial"/>
          <w:sz w:val="20"/>
          <w:szCs w:val="20"/>
        </w:rPr>
        <w:t xml:space="preserve">με ίδια μέσα </w:t>
      </w:r>
      <w:r w:rsidR="00566D06" w:rsidRPr="25D987CB">
        <w:rPr>
          <w:rFonts w:ascii="Arial" w:hAnsi="Arial" w:cs="Arial"/>
          <w:sz w:val="20"/>
          <w:szCs w:val="20"/>
        </w:rPr>
        <w:t>αναμένεται</w:t>
      </w:r>
      <w:r w:rsidR="00566D06" w:rsidRPr="006C72E6">
        <w:rPr>
          <w:rFonts w:ascii="Arial" w:hAnsi="Arial" w:cs="Arial"/>
          <w:sz w:val="20"/>
          <w:szCs w:val="20"/>
        </w:rPr>
        <w:t xml:space="preserve"> να αυξήσει τη συνολική αποδοτικότητα και να μειώσει </w:t>
      </w:r>
      <w:r w:rsidR="00215164">
        <w:rPr>
          <w:rFonts w:ascii="Arial" w:hAnsi="Arial" w:cs="Arial"/>
          <w:sz w:val="20"/>
          <w:szCs w:val="20"/>
        </w:rPr>
        <w:t xml:space="preserve">το </w:t>
      </w:r>
      <w:r w:rsidR="00A6413B">
        <w:rPr>
          <w:rFonts w:ascii="Arial" w:hAnsi="Arial" w:cs="Arial"/>
          <w:sz w:val="20"/>
          <w:szCs w:val="20"/>
        </w:rPr>
        <w:t>κόστος παραγωγής</w:t>
      </w:r>
      <w:r w:rsidR="00215164">
        <w:rPr>
          <w:rFonts w:ascii="Arial" w:hAnsi="Arial" w:cs="Arial"/>
          <w:sz w:val="20"/>
          <w:szCs w:val="20"/>
        </w:rPr>
        <w:t xml:space="preserve"> </w:t>
      </w:r>
      <w:r w:rsidR="00940BD3">
        <w:rPr>
          <w:rFonts w:ascii="Arial" w:hAnsi="Arial" w:cs="Arial"/>
          <w:sz w:val="20"/>
          <w:szCs w:val="20"/>
        </w:rPr>
        <w:t>για τη διάρκεια</w:t>
      </w:r>
      <w:r w:rsidR="00215164">
        <w:rPr>
          <w:rFonts w:ascii="Arial" w:hAnsi="Arial" w:cs="Arial"/>
          <w:sz w:val="20"/>
          <w:szCs w:val="20"/>
        </w:rPr>
        <w:t xml:space="preserve"> </w:t>
      </w:r>
      <w:r w:rsidR="00C96787">
        <w:rPr>
          <w:rFonts w:ascii="Arial" w:hAnsi="Arial" w:cs="Arial"/>
          <w:sz w:val="20"/>
          <w:szCs w:val="20"/>
        </w:rPr>
        <w:t>ζωής του μεταλλείου</w:t>
      </w:r>
      <w:r w:rsidR="00566D06" w:rsidRPr="006C72E6">
        <w:rPr>
          <w:rFonts w:ascii="Arial" w:hAnsi="Arial" w:cs="Arial"/>
          <w:sz w:val="20"/>
          <w:szCs w:val="20"/>
        </w:rPr>
        <w:t xml:space="preserve">. Οι μελέτες </w:t>
      </w:r>
      <w:r w:rsidR="00337F91">
        <w:rPr>
          <w:rFonts w:ascii="Arial" w:hAnsi="Arial" w:cs="Arial"/>
          <w:sz w:val="20"/>
          <w:szCs w:val="20"/>
        </w:rPr>
        <w:t xml:space="preserve">υποστηρίζουν </w:t>
      </w:r>
      <w:r w:rsidR="0065621E">
        <w:rPr>
          <w:rFonts w:ascii="Arial" w:hAnsi="Arial" w:cs="Arial"/>
          <w:sz w:val="20"/>
          <w:szCs w:val="20"/>
        </w:rPr>
        <w:t xml:space="preserve">ακόμα </w:t>
      </w:r>
      <w:r w:rsidR="00566D06" w:rsidRPr="006C72E6">
        <w:rPr>
          <w:rFonts w:ascii="Arial" w:hAnsi="Arial" w:cs="Arial"/>
          <w:sz w:val="20"/>
          <w:szCs w:val="20"/>
        </w:rPr>
        <w:t xml:space="preserve">τη μετάβαση από </w:t>
      </w:r>
      <w:r w:rsidR="00AB2E86">
        <w:rPr>
          <w:rFonts w:ascii="Arial" w:hAnsi="Arial" w:cs="Arial"/>
          <w:sz w:val="20"/>
          <w:szCs w:val="20"/>
        </w:rPr>
        <w:t xml:space="preserve">την </w:t>
      </w:r>
      <w:r w:rsidR="00337F91">
        <w:rPr>
          <w:rFonts w:ascii="Arial" w:hAnsi="Arial" w:cs="Arial"/>
          <w:sz w:val="20"/>
          <w:szCs w:val="20"/>
        </w:rPr>
        <w:t>ανοιχτή εξόρυξη</w:t>
      </w:r>
      <w:r w:rsidR="00566D06" w:rsidRPr="006C72E6">
        <w:rPr>
          <w:rFonts w:ascii="Arial" w:hAnsi="Arial" w:cs="Arial"/>
          <w:sz w:val="20"/>
          <w:szCs w:val="20"/>
        </w:rPr>
        <w:t xml:space="preserve"> δύο φάσεων σε τέσσερις φάσεις, επιταχύνοντας την πρόσβαση σε μετάλλευμα υψηλότερης ποιότητας, βελτιστοποιώντας παράλληλα την </w:t>
      </w:r>
      <w:r w:rsidR="00E36877">
        <w:rPr>
          <w:rFonts w:ascii="Arial" w:hAnsi="Arial" w:cs="Arial"/>
          <w:sz w:val="20"/>
          <w:szCs w:val="20"/>
        </w:rPr>
        <w:t xml:space="preserve">απομάκρυνση των </w:t>
      </w:r>
      <w:r w:rsidR="00992A2D">
        <w:rPr>
          <w:rFonts w:ascii="Arial" w:hAnsi="Arial" w:cs="Arial"/>
          <w:sz w:val="20"/>
          <w:szCs w:val="20"/>
        </w:rPr>
        <w:t>επιφανειακών</w:t>
      </w:r>
      <w:r w:rsidR="00E36877">
        <w:rPr>
          <w:rFonts w:ascii="Arial" w:hAnsi="Arial" w:cs="Arial"/>
          <w:sz w:val="20"/>
          <w:szCs w:val="20"/>
        </w:rPr>
        <w:t xml:space="preserve"> στρωμάτων</w:t>
      </w:r>
      <w:r w:rsidR="00566D06" w:rsidRPr="006C72E6">
        <w:rPr>
          <w:rFonts w:ascii="Arial" w:hAnsi="Arial" w:cs="Arial"/>
          <w:sz w:val="20"/>
          <w:szCs w:val="20"/>
        </w:rPr>
        <w:t>.</w:t>
      </w:r>
    </w:p>
    <w:p w14:paraId="0C06234F" w14:textId="424B6FA4" w:rsidR="00566D06" w:rsidRPr="006C72E6" w:rsidRDefault="00566D06" w:rsidP="00EE0C35">
      <w:pPr>
        <w:numPr>
          <w:ilvl w:val="0"/>
          <w:numId w:val="15"/>
        </w:numPr>
        <w:spacing w:after="120"/>
        <w:jc w:val="both"/>
        <w:rPr>
          <w:rFonts w:ascii="Arial" w:hAnsi="Arial" w:cs="Arial"/>
          <w:sz w:val="20"/>
          <w:szCs w:val="20"/>
        </w:rPr>
      </w:pPr>
      <w:r w:rsidRPr="006C72E6">
        <w:rPr>
          <w:rFonts w:ascii="Arial" w:hAnsi="Arial" w:cs="Arial"/>
          <w:b/>
          <w:bCs/>
          <w:sz w:val="20"/>
          <w:szCs w:val="20"/>
        </w:rPr>
        <w:t>Υπόγεια</w:t>
      </w:r>
      <w:r w:rsidR="00E40D92">
        <w:rPr>
          <w:rFonts w:ascii="Arial" w:hAnsi="Arial" w:cs="Arial"/>
          <w:b/>
          <w:bCs/>
          <w:sz w:val="20"/>
          <w:szCs w:val="20"/>
        </w:rPr>
        <w:t xml:space="preserve"> Εξόρυξη</w:t>
      </w:r>
      <w:r w:rsidRPr="006C72E6">
        <w:rPr>
          <w:rFonts w:ascii="Arial" w:hAnsi="Arial" w:cs="Arial"/>
          <w:sz w:val="20"/>
          <w:szCs w:val="20"/>
        </w:rPr>
        <w:t>: Η υπόγεια ανάπτυξη προχωρά καλά με</w:t>
      </w:r>
      <w:r w:rsidR="003A7EAC">
        <w:rPr>
          <w:rFonts w:ascii="Arial" w:hAnsi="Arial" w:cs="Arial"/>
          <w:sz w:val="20"/>
          <w:szCs w:val="20"/>
        </w:rPr>
        <w:t xml:space="preserve"> μία κορυφαία </w:t>
      </w:r>
      <w:r w:rsidR="003A7EAC" w:rsidRPr="25D987CB">
        <w:rPr>
          <w:rFonts w:ascii="Arial" w:hAnsi="Arial" w:cs="Arial"/>
          <w:sz w:val="20"/>
          <w:szCs w:val="20"/>
        </w:rPr>
        <w:t>ευρωπα</w:t>
      </w:r>
      <w:r w:rsidR="145D4322" w:rsidRPr="25D987CB">
        <w:rPr>
          <w:rFonts w:ascii="Arial" w:hAnsi="Arial" w:cs="Arial"/>
          <w:sz w:val="20"/>
          <w:szCs w:val="20"/>
        </w:rPr>
        <w:t>ϊ</w:t>
      </w:r>
      <w:r w:rsidR="003A7EAC" w:rsidRPr="25D987CB">
        <w:rPr>
          <w:rFonts w:ascii="Arial" w:hAnsi="Arial" w:cs="Arial"/>
          <w:sz w:val="20"/>
          <w:szCs w:val="20"/>
        </w:rPr>
        <w:t>κή</w:t>
      </w:r>
      <w:r w:rsidR="003A7EAC">
        <w:rPr>
          <w:rFonts w:ascii="Arial" w:hAnsi="Arial" w:cs="Arial"/>
          <w:sz w:val="20"/>
          <w:szCs w:val="20"/>
        </w:rPr>
        <w:t xml:space="preserve"> εταιρεία</w:t>
      </w:r>
      <w:r w:rsidRPr="006C72E6">
        <w:rPr>
          <w:rFonts w:ascii="Arial" w:hAnsi="Arial" w:cs="Arial"/>
          <w:sz w:val="20"/>
          <w:szCs w:val="20"/>
        </w:rPr>
        <w:t xml:space="preserve">, </w:t>
      </w:r>
      <w:r w:rsidR="00D72EF5">
        <w:rPr>
          <w:rFonts w:ascii="Arial" w:hAnsi="Arial" w:cs="Arial"/>
          <w:sz w:val="20"/>
          <w:szCs w:val="20"/>
        </w:rPr>
        <w:t>η οποία</w:t>
      </w:r>
      <w:r w:rsidRPr="006C72E6">
        <w:rPr>
          <w:rFonts w:ascii="Arial" w:hAnsi="Arial" w:cs="Arial"/>
          <w:sz w:val="20"/>
          <w:szCs w:val="20"/>
        </w:rPr>
        <w:t xml:space="preserve"> αναπτύσσει ένα πολυετές πρόγραμμα κατάρτισης για την ανάπτυξη του τοπικού εργατικού δυναμικού </w:t>
      </w:r>
      <w:r w:rsidR="00446E0D">
        <w:rPr>
          <w:rFonts w:ascii="Arial" w:hAnsi="Arial" w:cs="Arial"/>
          <w:sz w:val="20"/>
          <w:szCs w:val="20"/>
        </w:rPr>
        <w:t>σ</w:t>
      </w:r>
      <w:r w:rsidR="00EA75DF">
        <w:rPr>
          <w:rFonts w:ascii="Arial" w:hAnsi="Arial" w:cs="Arial"/>
          <w:sz w:val="20"/>
          <w:szCs w:val="20"/>
        </w:rPr>
        <w:t>την</w:t>
      </w:r>
      <w:r w:rsidR="00446E0D">
        <w:rPr>
          <w:rFonts w:ascii="Arial" w:hAnsi="Arial" w:cs="Arial"/>
          <w:sz w:val="20"/>
          <w:szCs w:val="20"/>
        </w:rPr>
        <w:t xml:space="preserve"> εξόρυξη μετώπων</w:t>
      </w:r>
      <w:r w:rsidR="00EB219D" w:rsidRPr="25D987CB">
        <w:rPr>
          <w:rFonts w:ascii="Arial" w:hAnsi="Arial" w:cs="Arial"/>
          <w:sz w:val="20"/>
          <w:szCs w:val="20"/>
        </w:rPr>
        <w:t xml:space="preserve"> μεγάλων διαστάσεων</w:t>
      </w:r>
      <w:r w:rsidRPr="25D987CB">
        <w:rPr>
          <w:rFonts w:ascii="Arial" w:hAnsi="Arial" w:cs="Arial"/>
          <w:sz w:val="20"/>
          <w:szCs w:val="20"/>
        </w:rPr>
        <w:t>.</w:t>
      </w:r>
      <w:r w:rsidRPr="006C72E6">
        <w:rPr>
          <w:rFonts w:ascii="Arial" w:hAnsi="Arial" w:cs="Arial"/>
          <w:sz w:val="20"/>
          <w:szCs w:val="20"/>
        </w:rPr>
        <w:t xml:space="preserve"> Η μεγαλύτερη περίοδος υπόγειας εξόρυξης πριν από την εμπορική παραγωγή παρέχει επιπλέον χρόνο για την ολοκλήρωση των απαιτούμενων μέτρων ανάπτυξης, γεγονός που, σε συνδυασμό με την ολοκλήρωση </w:t>
      </w:r>
      <w:r w:rsidR="00195C97">
        <w:rPr>
          <w:rFonts w:ascii="Arial" w:hAnsi="Arial" w:cs="Arial"/>
          <w:sz w:val="20"/>
          <w:szCs w:val="20"/>
        </w:rPr>
        <w:t>των δοκιμών</w:t>
      </w:r>
      <w:r w:rsidRPr="006C72E6">
        <w:rPr>
          <w:rFonts w:ascii="Arial" w:hAnsi="Arial" w:cs="Arial"/>
          <w:sz w:val="20"/>
          <w:szCs w:val="20"/>
        </w:rPr>
        <w:t xml:space="preserve">, </w:t>
      </w:r>
      <w:r w:rsidR="00C03AFC" w:rsidRPr="00C03AFC">
        <w:rPr>
          <w:rFonts w:ascii="Arial" w:hAnsi="Arial" w:cs="Arial"/>
          <w:sz w:val="20"/>
          <w:szCs w:val="20"/>
        </w:rPr>
        <w:t>μειώνει τους κινδύνους των συνολικών σχεδίων παραγωγής</w:t>
      </w:r>
      <w:r w:rsidRPr="006C72E6">
        <w:rPr>
          <w:rFonts w:ascii="Arial" w:hAnsi="Arial" w:cs="Arial"/>
          <w:sz w:val="20"/>
          <w:szCs w:val="20"/>
        </w:rPr>
        <w:t xml:space="preserve">. </w:t>
      </w:r>
      <w:r w:rsidR="00A37E86">
        <w:rPr>
          <w:rFonts w:ascii="Arial" w:hAnsi="Arial" w:cs="Arial"/>
          <w:sz w:val="20"/>
          <w:szCs w:val="20"/>
        </w:rPr>
        <w:t>Βάσει πρόβλεψης</w:t>
      </w:r>
      <w:r w:rsidRPr="006C72E6">
        <w:rPr>
          <w:rFonts w:ascii="Arial" w:hAnsi="Arial" w:cs="Arial"/>
          <w:sz w:val="20"/>
          <w:szCs w:val="20"/>
        </w:rPr>
        <w:t xml:space="preserve">, </w:t>
      </w:r>
      <w:r w:rsidR="00D96EB8">
        <w:rPr>
          <w:rFonts w:ascii="Arial" w:hAnsi="Arial" w:cs="Arial"/>
          <w:sz w:val="20"/>
          <w:szCs w:val="20"/>
        </w:rPr>
        <w:t>οι δοκιμές</w:t>
      </w:r>
      <w:r w:rsidRPr="006C72E6">
        <w:rPr>
          <w:rFonts w:ascii="Arial" w:hAnsi="Arial" w:cs="Arial"/>
          <w:sz w:val="20"/>
          <w:szCs w:val="20"/>
        </w:rPr>
        <w:t xml:space="preserve"> αναμένεται να ολοκληρωθ</w:t>
      </w:r>
      <w:r w:rsidR="00D96EB8">
        <w:rPr>
          <w:rFonts w:ascii="Arial" w:hAnsi="Arial" w:cs="Arial"/>
          <w:sz w:val="20"/>
          <w:szCs w:val="20"/>
        </w:rPr>
        <w:t>ούν</w:t>
      </w:r>
      <w:r w:rsidRPr="006C72E6">
        <w:rPr>
          <w:rFonts w:ascii="Arial" w:hAnsi="Arial" w:cs="Arial"/>
          <w:sz w:val="20"/>
          <w:szCs w:val="20"/>
        </w:rPr>
        <w:t xml:space="preserve"> εντός του 2025.</w:t>
      </w:r>
    </w:p>
    <w:p w14:paraId="34396866" w14:textId="77777777" w:rsidR="000C25B7" w:rsidRPr="006C72E6" w:rsidRDefault="000C25B7" w:rsidP="00C62470">
      <w:pPr>
        <w:spacing w:line="288" w:lineRule="auto"/>
        <w:jc w:val="center"/>
        <w:rPr>
          <w:rFonts w:ascii="Arial" w:hAnsi="Arial" w:cs="Arial"/>
          <w:i/>
          <w:iCs/>
          <w:sz w:val="20"/>
          <w:szCs w:val="20"/>
        </w:rPr>
      </w:pPr>
    </w:p>
    <w:p w14:paraId="2EF3D812" w14:textId="7EAEDD2E" w:rsidR="00566D06" w:rsidRPr="006C72E6" w:rsidRDefault="000D09F3" w:rsidP="00865275">
      <w:pPr>
        <w:spacing w:line="288" w:lineRule="auto"/>
        <w:rPr>
          <w:rFonts w:ascii="Arial" w:hAnsi="Arial" w:cs="Arial"/>
          <w:i/>
          <w:iCs/>
          <w:sz w:val="20"/>
          <w:szCs w:val="20"/>
        </w:rPr>
      </w:pPr>
      <w:r w:rsidRPr="006C72E6">
        <w:rPr>
          <w:rFonts w:ascii="Arial" w:hAnsi="Arial" w:cs="Arial"/>
          <w:i/>
          <w:iCs/>
          <w:sz w:val="20"/>
          <w:szCs w:val="20"/>
        </w:rPr>
        <w:t xml:space="preserve">Πίνακας 3. </w:t>
      </w:r>
      <w:r w:rsidR="0033756A" w:rsidRPr="0033756A">
        <w:rPr>
          <w:rFonts w:ascii="Arial" w:hAnsi="Arial" w:cs="Arial"/>
          <w:i/>
          <w:iCs/>
          <w:sz w:val="20"/>
          <w:szCs w:val="20"/>
        </w:rPr>
        <w:t xml:space="preserve">Επιταχυμένο Λειτουργικό Κεφάλαιο </w:t>
      </w:r>
      <w:r w:rsidR="00D96EB8">
        <w:rPr>
          <w:rFonts w:ascii="Arial" w:hAnsi="Arial" w:cs="Arial"/>
          <w:i/>
          <w:iCs/>
          <w:sz w:val="20"/>
          <w:szCs w:val="20"/>
        </w:rPr>
        <w:t>(εκατ. δολάρια ΗΠΑ</w:t>
      </w:r>
      <w:r w:rsidRPr="006C72E6">
        <w:rPr>
          <w:rFonts w:ascii="Arial" w:hAnsi="Arial" w:cs="Arial"/>
          <w:i/>
          <w:iCs/>
          <w:sz w:val="20"/>
          <w:szCs w:val="20"/>
        </w:rPr>
        <w:t>)</w:t>
      </w:r>
    </w:p>
    <w:tbl>
      <w:tblPr>
        <w:tblW w:w="5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15"/>
        <w:gridCol w:w="2485"/>
      </w:tblGrid>
      <w:tr w:rsidR="00566D06" w:rsidRPr="006C72E6" w14:paraId="523FE936" w14:textId="77777777" w:rsidTr="00865275">
        <w:trPr>
          <w:trHeight w:val="300"/>
        </w:trPr>
        <w:tc>
          <w:tcPr>
            <w:tcW w:w="3415" w:type="dxa"/>
            <w:shd w:val="clear" w:color="auto" w:fill="ECF8F0"/>
            <w:noWrap/>
            <w:vAlign w:val="center"/>
            <w:hideMark/>
          </w:tcPr>
          <w:p w14:paraId="5BB4F47E" w14:textId="77777777" w:rsidR="00566D06" w:rsidRPr="006C72E6" w:rsidRDefault="00566D06" w:rsidP="00C62470">
            <w:pPr>
              <w:spacing w:line="288" w:lineRule="auto"/>
              <w:jc w:val="center"/>
              <w:rPr>
                <w:rFonts w:ascii="Arial" w:hAnsi="Arial" w:cs="Arial"/>
                <w:b/>
                <w:bCs/>
                <w:color w:val="000000"/>
                <w:sz w:val="20"/>
                <w:szCs w:val="20"/>
              </w:rPr>
            </w:pPr>
            <w:r w:rsidRPr="006C72E6">
              <w:rPr>
                <w:rFonts w:ascii="Arial" w:hAnsi="Arial" w:cs="Arial"/>
                <w:b/>
                <w:bCs/>
                <w:color w:val="000000"/>
                <w:sz w:val="20"/>
                <w:szCs w:val="20"/>
              </w:rPr>
              <w:t>Κατηγορία</w:t>
            </w:r>
          </w:p>
        </w:tc>
        <w:tc>
          <w:tcPr>
            <w:tcW w:w="2485" w:type="dxa"/>
            <w:shd w:val="clear" w:color="auto" w:fill="ECF8F0"/>
            <w:noWrap/>
            <w:vAlign w:val="center"/>
            <w:hideMark/>
          </w:tcPr>
          <w:p w14:paraId="48146A54" w14:textId="6222D6AA" w:rsidR="00566D06" w:rsidRPr="006C72E6" w:rsidRDefault="009325C5" w:rsidP="00C62470">
            <w:pPr>
              <w:spacing w:line="288" w:lineRule="auto"/>
              <w:jc w:val="center"/>
              <w:rPr>
                <w:rFonts w:ascii="Arial" w:hAnsi="Arial" w:cs="Arial"/>
                <w:b/>
                <w:bCs/>
                <w:color w:val="000000"/>
                <w:sz w:val="20"/>
                <w:szCs w:val="20"/>
              </w:rPr>
            </w:pPr>
            <w:r>
              <w:rPr>
                <w:rFonts w:ascii="Arial" w:hAnsi="Arial" w:cs="Arial"/>
                <w:b/>
                <w:bCs/>
                <w:color w:val="000000"/>
                <w:sz w:val="20"/>
                <w:szCs w:val="20"/>
              </w:rPr>
              <w:t>Εκτίμηση</w:t>
            </w:r>
          </w:p>
        </w:tc>
      </w:tr>
      <w:tr w:rsidR="00566D06" w:rsidRPr="006C72E6" w14:paraId="5966D6B7" w14:textId="77777777" w:rsidTr="00B578CD">
        <w:trPr>
          <w:trHeight w:val="300"/>
        </w:trPr>
        <w:tc>
          <w:tcPr>
            <w:tcW w:w="3415" w:type="dxa"/>
            <w:shd w:val="clear" w:color="auto" w:fill="auto"/>
            <w:noWrap/>
            <w:vAlign w:val="center"/>
            <w:hideMark/>
          </w:tcPr>
          <w:p w14:paraId="78E2AE81" w14:textId="2097FBC1" w:rsidR="00566D06" w:rsidRPr="006C72E6" w:rsidRDefault="00566D06" w:rsidP="00C62470">
            <w:pPr>
              <w:spacing w:line="288" w:lineRule="auto"/>
              <w:jc w:val="center"/>
              <w:rPr>
                <w:rFonts w:ascii="Arial" w:hAnsi="Arial" w:cs="Arial"/>
                <w:color w:val="000000"/>
                <w:sz w:val="20"/>
                <w:szCs w:val="20"/>
              </w:rPr>
            </w:pPr>
            <w:r w:rsidRPr="006C72E6">
              <w:rPr>
                <w:rFonts w:ascii="Arial" w:hAnsi="Arial" w:cs="Arial"/>
                <w:color w:val="000000"/>
                <w:sz w:val="20"/>
                <w:szCs w:val="20"/>
              </w:rPr>
              <w:t xml:space="preserve">Εξοπλισμός </w:t>
            </w:r>
            <w:r w:rsidR="006D289A">
              <w:rPr>
                <w:rFonts w:ascii="Arial" w:hAnsi="Arial" w:cs="Arial"/>
                <w:color w:val="000000"/>
                <w:sz w:val="20"/>
                <w:szCs w:val="20"/>
              </w:rPr>
              <w:t>παραγωγής</w:t>
            </w:r>
          </w:p>
        </w:tc>
        <w:tc>
          <w:tcPr>
            <w:tcW w:w="2485" w:type="dxa"/>
            <w:shd w:val="clear" w:color="auto" w:fill="auto"/>
            <w:noWrap/>
            <w:vAlign w:val="center"/>
          </w:tcPr>
          <w:p w14:paraId="2B4D8EAA" w14:textId="0989EF4D" w:rsidR="00566D06" w:rsidRPr="006C72E6" w:rsidRDefault="00DA4B38" w:rsidP="00C62470">
            <w:pPr>
              <w:spacing w:line="288" w:lineRule="auto"/>
              <w:jc w:val="center"/>
              <w:rPr>
                <w:rFonts w:ascii="Arial" w:hAnsi="Arial" w:cs="Arial"/>
                <w:color w:val="000000"/>
                <w:sz w:val="20"/>
                <w:szCs w:val="20"/>
              </w:rPr>
            </w:pPr>
            <w:r w:rsidRPr="006C72E6">
              <w:rPr>
                <w:rFonts w:ascii="Arial" w:hAnsi="Arial" w:cs="Arial"/>
                <w:color w:val="000000"/>
                <w:sz w:val="20"/>
                <w:szCs w:val="20"/>
              </w:rPr>
              <w:t>47</w:t>
            </w:r>
          </w:p>
        </w:tc>
      </w:tr>
      <w:tr w:rsidR="00566D06" w:rsidRPr="006C72E6" w14:paraId="71AB607D" w14:textId="77777777" w:rsidTr="00B578CD">
        <w:trPr>
          <w:trHeight w:val="300"/>
        </w:trPr>
        <w:tc>
          <w:tcPr>
            <w:tcW w:w="3415" w:type="dxa"/>
            <w:shd w:val="clear" w:color="auto" w:fill="auto"/>
            <w:noWrap/>
            <w:vAlign w:val="center"/>
            <w:hideMark/>
          </w:tcPr>
          <w:p w14:paraId="594804D8" w14:textId="2FD963FE" w:rsidR="00566D06" w:rsidRPr="006C72E6" w:rsidRDefault="00566D06" w:rsidP="00C62470">
            <w:pPr>
              <w:spacing w:line="288" w:lineRule="auto"/>
              <w:jc w:val="center"/>
              <w:rPr>
                <w:rFonts w:ascii="Arial" w:hAnsi="Arial" w:cs="Arial"/>
                <w:color w:val="000000"/>
                <w:sz w:val="20"/>
                <w:szCs w:val="20"/>
              </w:rPr>
            </w:pPr>
            <w:r w:rsidRPr="006C72E6">
              <w:rPr>
                <w:rFonts w:ascii="Arial" w:hAnsi="Arial" w:cs="Arial"/>
                <w:color w:val="000000"/>
                <w:sz w:val="20"/>
                <w:szCs w:val="20"/>
              </w:rPr>
              <w:t>Συντήρηση</w:t>
            </w:r>
          </w:p>
        </w:tc>
        <w:tc>
          <w:tcPr>
            <w:tcW w:w="2485" w:type="dxa"/>
            <w:shd w:val="clear" w:color="auto" w:fill="auto"/>
            <w:noWrap/>
            <w:vAlign w:val="center"/>
          </w:tcPr>
          <w:p w14:paraId="3AEEAE8E" w14:textId="17E22A72" w:rsidR="00566D06" w:rsidRPr="006C72E6" w:rsidRDefault="00DA4B38" w:rsidP="00C62470">
            <w:pPr>
              <w:spacing w:line="288" w:lineRule="auto"/>
              <w:jc w:val="center"/>
              <w:rPr>
                <w:rFonts w:ascii="Arial" w:hAnsi="Arial" w:cs="Arial"/>
                <w:color w:val="000000"/>
                <w:sz w:val="20"/>
                <w:szCs w:val="20"/>
              </w:rPr>
            </w:pPr>
            <w:r w:rsidRPr="006C72E6">
              <w:rPr>
                <w:rFonts w:ascii="Arial" w:hAnsi="Arial" w:cs="Arial"/>
                <w:color w:val="000000"/>
                <w:sz w:val="20"/>
                <w:szCs w:val="20"/>
              </w:rPr>
              <w:t>6</w:t>
            </w:r>
            <w:r w:rsidR="009325C5">
              <w:rPr>
                <w:rFonts w:ascii="Arial" w:hAnsi="Arial" w:cs="Arial"/>
                <w:color w:val="000000"/>
                <w:sz w:val="20"/>
                <w:szCs w:val="20"/>
              </w:rPr>
              <w:t>7</w:t>
            </w:r>
          </w:p>
        </w:tc>
      </w:tr>
      <w:tr w:rsidR="00566D06" w:rsidRPr="006C72E6" w14:paraId="24BEE123" w14:textId="77777777" w:rsidTr="00865275">
        <w:trPr>
          <w:trHeight w:val="300"/>
        </w:trPr>
        <w:tc>
          <w:tcPr>
            <w:tcW w:w="3415" w:type="dxa"/>
            <w:shd w:val="clear" w:color="auto" w:fill="auto"/>
            <w:noWrap/>
            <w:vAlign w:val="center"/>
            <w:hideMark/>
          </w:tcPr>
          <w:p w14:paraId="56A1929F" w14:textId="19A417E8" w:rsidR="00566D06" w:rsidRPr="006C72E6" w:rsidRDefault="00566D06" w:rsidP="00C62470">
            <w:pPr>
              <w:spacing w:line="288" w:lineRule="auto"/>
              <w:jc w:val="center"/>
              <w:rPr>
                <w:rFonts w:ascii="Arial" w:hAnsi="Arial" w:cs="Arial"/>
                <w:color w:val="000000"/>
                <w:sz w:val="20"/>
                <w:szCs w:val="20"/>
              </w:rPr>
            </w:pPr>
            <w:r w:rsidRPr="006C72E6">
              <w:rPr>
                <w:rFonts w:ascii="Arial" w:hAnsi="Arial" w:cs="Arial"/>
                <w:color w:val="000000"/>
                <w:sz w:val="20"/>
                <w:szCs w:val="20"/>
              </w:rPr>
              <w:t>Άλλο</w:t>
            </w:r>
          </w:p>
        </w:tc>
        <w:tc>
          <w:tcPr>
            <w:tcW w:w="2485" w:type="dxa"/>
            <w:shd w:val="clear" w:color="auto" w:fill="auto"/>
            <w:noWrap/>
            <w:vAlign w:val="center"/>
            <w:hideMark/>
          </w:tcPr>
          <w:p w14:paraId="0F82B74E" w14:textId="730E7E6D" w:rsidR="00566D06" w:rsidRPr="006C72E6" w:rsidRDefault="00DA4B38" w:rsidP="00C62470">
            <w:pPr>
              <w:spacing w:line="288" w:lineRule="auto"/>
              <w:jc w:val="center"/>
              <w:rPr>
                <w:rFonts w:ascii="Arial" w:hAnsi="Arial" w:cs="Arial"/>
                <w:color w:val="000000"/>
                <w:sz w:val="20"/>
                <w:szCs w:val="20"/>
              </w:rPr>
            </w:pPr>
            <w:r w:rsidRPr="006C72E6">
              <w:rPr>
                <w:rFonts w:ascii="Arial" w:hAnsi="Arial" w:cs="Arial"/>
                <w:color w:val="000000"/>
                <w:sz w:val="20"/>
                <w:szCs w:val="20"/>
              </w:rPr>
              <w:t>4</w:t>
            </w:r>
            <w:r w:rsidR="009325C5">
              <w:rPr>
                <w:rFonts w:ascii="Arial" w:hAnsi="Arial" w:cs="Arial"/>
                <w:color w:val="000000"/>
                <w:sz w:val="20"/>
                <w:szCs w:val="20"/>
              </w:rPr>
              <w:t>0</w:t>
            </w:r>
          </w:p>
        </w:tc>
      </w:tr>
      <w:tr w:rsidR="00566D06" w:rsidRPr="006C72E6" w14:paraId="77A7CBF2" w14:textId="77777777" w:rsidTr="00865275">
        <w:trPr>
          <w:trHeight w:val="300"/>
        </w:trPr>
        <w:tc>
          <w:tcPr>
            <w:tcW w:w="3415" w:type="dxa"/>
            <w:shd w:val="clear" w:color="auto" w:fill="auto"/>
            <w:noWrap/>
            <w:vAlign w:val="center"/>
            <w:hideMark/>
          </w:tcPr>
          <w:p w14:paraId="49CFBF3A" w14:textId="3ED89D0F" w:rsidR="00566D06" w:rsidRPr="006C72E6" w:rsidRDefault="00566D06" w:rsidP="00C62470">
            <w:pPr>
              <w:spacing w:line="288" w:lineRule="auto"/>
              <w:jc w:val="center"/>
              <w:rPr>
                <w:rFonts w:ascii="Arial" w:hAnsi="Arial" w:cs="Arial"/>
                <w:b/>
                <w:bCs/>
                <w:color w:val="000000"/>
                <w:sz w:val="20"/>
                <w:szCs w:val="20"/>
              </w:rPr>
            </w:pPr>
            <w:r w:rsidRPr="006C72E6">
              <w:rPr>
                <w:rFonts w:ascii="Arial" w:hAnsi="Arial" w:cs="Arial"/>
                <w:b/>
                <w:bCs/>
                <w:color w:val="000000"/>
                <w:sz w:val="20"/>
                <w:szCs w:val="20"/>
              </w:rPr>
              <w:t>Συνολική διακύμανση</w:t>
            </w:r>
          </w:p>
        </w:tc>
        <w:tc>
          <w:tcPr>
            <w:tcW w:w="2485" w:type="dxa"/>
            <w:shd w:val="clear" w:color="auto" w:fill="auto"/>
            <w:noWrap/>
            <w:vAlign w:val="center"/>
            <w:hideMark/>
          </w:tcPr>
          <w:p w14:paraId="41E7E0CC" w14:textId="5718446A" w:rsidR="00566D06" w:rsidRPr="006C72E6" w:rsidRDefault="00566D06" w:rsidP="00C62470">
            <w:pPr>
              <w:spacing w:line="288" w:lineRule="auto"/>
              <w:jc w:val="center"/>
              <w:rPr>
                <w:rFonts w:ascii="Arial" w:hAnsi="Arial" w:cs="Arial"/>
                <w:b/>
                <w:bCs/>
                <w:color w:val="000000"/>
                <w:sz w:val="20"/>
                <w:szCs w:val="20"/>
              </w:rPr>
            </w:pPr>
            <w:r w:rsidRPr="006C72E6">
              <w:rPr>
                <w:rFonts w:ascii="Arial" w:hAnsi="Arial" w:cs="Arial"/>
                <w:b/>
                <w:bCs/>
                <w:color w:val="000000"/>
                <w:sz w:val="20"/>
                <w:szCs w:val="20"/>
              </w:rPr>
              <w:t>15</w:t>
            </w:r>
            <w:r w:rsidR="009325C5">
              <w:rPr>
                <w:rFonts w:ascii="Arial" w:hAnsi="Arial" w:cs="Arial"/>
                <w:b/>
                <w:bCs/>
                <w:color w:val="000000"/>
                <w:sz w:val="20"/>
                <w:szCs w:val="20"/>
              </w:rPr>
              <w:t>4</w:t>
            </w:r>
          </w:p>
        </w:tc>
      </w:tr>
    </w:tbl>
    <w:p w14:paraId="6C3A3683" w14:textId="77777777" w:rsidR="007E220A" w:rsidRPr="006C72E6" w:rsidRDefault="007E220A" w:rsidP="00C62470">
      <w:pPr>
        <w:spacing w:line="288" w:lineRule="auto"/>
        <w:rPr>
          <w:rFonts w:ascii="Arial" w:hAnsi="Arial" w:cs="Arial"/>
          <w:b/>
          <w:bCs/>
          <w:sz w:val="20"/>
          <w:szCs w:val="20"/>
        </w:rPr>
      </w:pPr>
    </w:p>
    <w:p w14:paraId="137315D2" w14:textId="76EF9444" w:rsidR="00566D06" w:rsidRPr="006C72E6" w:rsidRDefault="00566D06" w:rsidP="00474D5C">
      <w:pPr>
        <w:spacing w:after="120" w:line="288" w:lineRule="auto"/>
        <w:rPr>
          <w:rFonts w:ascii="Arial" w:hAnsi="Arial" w:cs="Arial"/>
          <w:b/>
          <w:bCs/>
          <w:sz w:val="20"/>
          <w:szCs w:val="20"/>
          <w:u w:val="single"/>
        </w:rPr>
      </w:pPr>
      <w:r w:rsidRPr="006C72E6">
        <w:rPr>
          <w:rFonts w:ascii="Arial" w:hAnsi="Arial" w:cs="Arial"/>
          <w:b/>
          <w:bCs/>
          <w:sz w:val="20"/>
          <w:szCs w:val="20"/>
          <w:u w:val="single"/>
        </w:rPr>
        <w:t xml:space="preserve">Κατάσταση </w:t>
      </w:r>
      <w:r w:rsidR="00A4259A">
        <w:rPr>
          <w:rFonts w:ascii="Arial" w:hAnsi="Arial" w:cs="Arial"/>
          <w:b/>
          <w:bCs/>
          <w:sz w:val="20"/>
          <w:szCs w:val="20"/>
          <w:u w:val="single"/>
        </w:rPr>
        <w:t>Έ</w:t>
      </w:r>
      <w:r w:rsidRPr="006C72E6">
        <w:rPr>
          <w:rFonts w:ascii="Arial" w:hAnsi="Arial" w:cs="Arial"/>
          <w:b/>
          <w:bCs/>
          <w:sz w:val="20"/>
          <w:szCs w:val="20"/>
          <w:u w:val="single"/>
        </w:rPr>
        <w:t>ργου</w:t>
      </w:r>
    </w:p>
    <w:p w14:paraId="235D2FDE" w14:textId="7B9E9A7A" w:rsidR="00695CBF" w:rsidRPr="006C72E6" w:rsidRDefault="003B7CB8" w:rsidP="008C4473">
      <w:pPr>
        <w:jc w:val="both"/>
        <w:rPr>
          <w:rFonts w:ascii="Arial" w:hAnsi="Arial" w:cs="Arial"/>
          <w:b/>
          <w:bCs/>
          <w:sz w:val="20"/>
          <w:szCs w:val="20"/>
        </w:rPr>
      </w:pPr>
      <w:r w:rsidRPr="006C72E6">
        <w:rPr>
          <w:rFonts w:ascii="Arial" w:hAnsi="Arial" w:cs="Arial"/>
          <w:sz w:val="20"/>
          <w:szCs w:val="20"/>
        </w:rPr>
        <w:t xml:space="preserve">Στις 31 Δεκεμβρίου 2024, η φάση 2 του έργου είχε ολοκληρωθεί κατά 60%. </w:t>
      </w:r>
      <w:r w:rsidR="00703781">
        <w:rPr>
          <w:rFonts w:ascii="Arial" w:hAnsi="Arial" w:cs="Arial"/>
          <w:sz w:val="20"/>
          <w:szCs w:val="20"/>
        </w:rPr>
        <w:t>Οι τεχνικές μελέτες εφαρμογής (</w:t>
      </w:r>
      <w:r w:rsidR="00703781">
        <w:rPr>
          <w:rFonts w:ascii="Arial" w:hAnsi="Arial" w:cs="Arial"/>
          <w:sz w:val="20"/>
          <w:szCs w:val="20"/>
          <w:lang w:val="en-US"/>
        </w:rPr>
        <w:t>detailed</w:t>
      </w:r>
      <w:r w:rsidR="00703781" w:rsidRPr="00703781">
        <w:rPr>
          <w:rFonts w:ascii="Arial" w:hAnsi="Arial" w:cs="Arial"/>
          <w:sz w:val="20"/>
          <w:szCs w:val="20"/>
        </w:rPr>
        <w:t xml:space="preserve"> </w:t>
      </w:r>
      <w:r w:rsidR="00703781">
        <w:rPr>
          <w:rFonts w:ascii="Arial" w:hAnsi="Arial" w:cs="Arial"/>
          <w:sz w:val="20"/>
          <w:szCs w:val="20"/>
          <w:lang w:val="en-US"/>
        </w:rPr>
        <w:t>engineering</w:t>
      </w:r>
      <w:r w:rsidR="00703781" w:rsidRPr="00703781">
        <w:rPr>
          <w:rFonts w:ascii="Arial" w:hAnsi="Arial" w:cs="Arial"/>
          <w:sz w:val="20"/>
          <w:szCs w:val="20"/>
        </w:rPr>
        <w:t>)</w:t>
      </w:r>
      <w:r w:rsidRPr="006C72E6">
        <w:rPr>
          <w:rFonts w:ascii="Arial" w:hAnsi="Arial" w:cs="Arial"/>
          <w:sz w:val="20"/>
          <w:szCs w:val="20"/>
        </w:rPr>
        <w:t xml:space="preserve"> και οι προμήθειες </w:t>
      </w:r>
      <w:r w:rsidR="00703781">
        <w:rPr>
          <w:rFonts w:ascii="Arial" w:hAnsi="Arial" w:cs="Arial"/>
          <w:sz w:val="20"/>
          <w:szCs w:val="20"/>
        </w:rPr>
        <w:t xml:space="preserve">έχουν </w:t>
      </w:r>
      <w:r w:rsidR="3FFC9D90" w:rsidRPr="25D987CB">
        <w:rPr>
          <w:rFonts w:ascii="Arial" w:hAnsi="Arial" w:cs="Arial"/>
          <w:sz w:val="20"/>
          <w:szCs w:val="20"/>
        </w:rPr>
        <w:t xml:space="preserve">ουσιαστικά </w:t>
      </w:r>
      <w:r w:rsidR="00703781">
        <w:rPr>
          <w:rFonts w:ascii="Arial" w:hAnsi="Arial" w:cs="Arial"/>
          <w:sz w:val="20"/>
          <w:szCs w:val="20"/>
        </w:rPr>
        <w:t>ολοκληρωθεί</w:t>
      </w:r>
      <w:r w:rsidRPr="006C72E6">
        <w:rPr>
          <w:rFonts w:ascii="Arial" w:hAnsi="Arial" w:cs="Arial"/>
          <w:sz w:val="20"/>
          <w:szCs w:val="20"/>
        </w:rPr>
        <w:t>.</w:t>
      </w:r>
    </w:p>
    <w:p w14:paraId="4436C9AC" w14:textId="77777777" w:rsidR="002F58B6" w:rsidRPr="006C72E6" w:rsidRDefault="002F58B6" w:rsidP="00E05576">
      <w:pPr>
        <w:spacing w:line="288" w:lineRule="auto"/>
        <w:rPr>
          <w:rFonts w:ascii="Arial" w:hAnsi="Arial" w:cs="Arial"/>
          <w:sz w:val="20"/>
          <w:szCs w:val="20"/>
          <w:highlight w:val="yellow"/>
        </w:rPr>
      </w:pPr>
    </w:p>
    <w:p w14:paraId="62D8982E" w14:textId="77777777" w:rsidR="008709A6" w:rsidRPr="006C72E6" w:rsidRDefault="008709A6">
      <w:pPr>
        <w:spacing w:line="288" w:lineRule="auto"/>
        <w:jc w:val="both"/>
        <w:rPr>
          <w:rFonts w:ascii="Arial" w:eastAsia="Arial" w:hAnsi="Arial" w:cs="Arial"/>
          <w:sz w:val="20"/>
          <w:szCs w:val="20"/>
        </w:rPr>
      </w:pPr>
    </w:p>
    <w:p w14:paraId="3BD2D71F" w14:textId="1E1B8409" w:rsidR="000F4E0F" w:rsidRPr="006C72E6" w:rsidRDefault="00703781" w:rsidP="000F4E0F">
      <w:pPr>
        <w:jc w:val="both"/>
        <w:rPr>
          <w:rFonts w:ascii="Arial" w:hAnsi="Arial" w:cs="Arial"/>
          <w:b/>
          <w:bCs/>
          <w:sz w:val="22"/>
          <w:szCs w:val="22"/>
        </w:rPr>
      </w:pPr>
      <w:r>
        <w:rPr>
          <w:rFonts w:ascii="Arial" w:hAnsi="Arial" w:cs="Arial"/>
          <w:b/>
          <w:bCs/>
          <w:sz w:val="22"/>
          <w:szCs w:val="22"/>
        </w:rPr>
        <w:lastRenderedPageBreak/>
        <w:t>Πρόβλεψη</w:t>
      </w:r>
      <w:r w:rsidR="00860B5B" w:rsidRPr="006C72E6">
        <w:rPr>
          <w:rFonts w:ascii="Arial" w:hAnsi="Arial" w:cs="Arial"/>
          <w:b/>
          <w:bCs/>
          <w:sz w:val="22"/>
          <w:szCs w:val="22"/>
        </w:rPr>
        <w:t xml:space="preserve"> σχετικά με την παραγωγή και το κόστος για το 2025 </w:t>
      </w:r>
    </w:p>
    <w:p w14:paraId="41E676EA" w14:textId="77777777" w:rsidR="006254DB" w:rsidRPr="006C72E6" w:rsidRDefault="006254DB" w:rsidP="006254DB">
      <w:pPr>
        <w:jc w:val="both"/>
        <w:rPr>
          <w:rFonts w:ascii="Arial" w:hAnsi="Arial" w:cs="Arial"/>
          <w:sz w:val="20"/>
          <w:szCs w:val="20"/>
        </w:rPr>
      </w:pPr>
    </w:p>
    <w:tbl>
      <w:tblPr>
        <w:tblStyle w:val="TableGrid"/>
        <w:tblW w:w="9781" w:type="dxa"/>
        <w:tblInd w:w="-5" w:type="dxa"/>
        <w:tblLayout w:type="fixed"/>
        <w:tblLook w:val="04A0" w:firstRow="1" w:lastRow="0" w:firstColumn="1" w:lastColumn="0" w:noHBand="0" w:noVBand="1"/>
      </w:tblPr>
      <w:tblGrid>
        <w:gridCol w:w="2127"/>
        <w:gridCol w:w="1247"/>
        <w:gridCol w:w="1247"/>
        <w:gridCol w:w="1333"/>
        <w:gridCol w:w="1247"/>
        <w:gridCol w:w="1208"/>
        <w:gridCol w:w="1372"/>
      </w:tblGrid>
      <w:tr w:rsidR="00C21C26" w:rsidRPr="006C72E6" w14:paraId="750E7BB8" w14:textId="77777777" w:rsidTr="0038431A">
        <w:trPr>
          <w:trHeight w:val="242"/>
        </w:trPr>
        <w:tc>
          <w:tcPr>
            <w:tcW w:w="9781" w:type="dxa"/>
            <w:gridSpan w:val="7"/>
            <w:shd w:val="clear" w:color="auto" w:fill="ECF8F0"/>
          </w:tcPr>
          <w:p w14:paraId="3A65F901" w14:textId="1563E006" w:rsidR="0038431A" w:rsidRPr="006C72E6" w:rsidRDefault="00703781" w:rsidP="00B622FF">
            <w:pPr>
              <w:spacing w:after="120"/>
              <w:jc w:val="center"/>
              <w:rPr>
                <w:rFonts w:ascii="Arial" w:hAnsi="Arial" w:cs="Arial"/>
                <w:b/>
                <w:bCs/>
                <w:sz w:val="17"/>
                <w:szCs w:val="17"/>
              </w:rPr>
            </w:pPr>
            <w:r>
              <w:rPr>
                <w:rFonts w:ascii="Arial" w:hAnsi="Arial" w:cs="Arial"/>
                <w:b/>
                <w:bCs/>
                <w:sz w:val="17"/>
                <w:szCs w:val="17"/>
              </w:rPr>
              <w:t>Πρόβλεψη</w:t>
            </w:r>
            <w:r w:rsidR="0038431A" w:rsidRPr="006C72E6">
              <w:rPr>
                <w:rFonts w:ascii="Arial" w:hAnsi="Arial" w:cs="Arial"/>
                <w:b/>
                <w:bCs/>
                <w:sz w:val="17"/>
                <w:szCs w:val="17"/>
              </w:rPr>
              <w:t xml:space="preserve"> για το 2025</w:t>
            </w:r>
          </w:p>
        </w:tc>
      </w:tr>
      <w:tr w:rsidR="00D80D12" w:rsidRPr="006C72E6" w14:paraId="16662809" w14:textId="77777777" w:rsidTr="0038431A">
        <w:trPr>
          <w:trHeight w:val="425"/>
        </w:trPr>
        <w:tc>
          <w:tcPr>
            <w:tcW w:w="2127" w:type="dxa"/>
            <w:shd w:val="clear" w:color="auto" w:fill="ECF8F0"/>
          </w:tcPr>
          <w:p w14:paraId="3406010B" w14:textId="77777777" w:rsidR="00CC0EEC" w:rsidRPr="006C72E6" w:rsidRDefault="00CC0EEC" w:rsidP="00CC0EEC">
            <w:pPr>
              <w:spacing w:after="120"/>
              <w:jc w:val="both"/>
              <w:rPr>
                <w:rFonts w:ascii="Arial" w:hAnsi="Arial" w:cs="Arial"/>
                <w:b/>
                <w:bCs/>
                <w:sz w:val="22"/>
                <w:szCs w:val="22"/>
              </w:rPr>
            </w:pPr>
            <w:bookmarkStart w:id="2" w:name="_Hlk157513383"/>
          </w:p>
        </w:tc>
        <w:tc>
          <w:tcPr>
            <w:tcW w:w="1247" w:type="dxa"/>
            <w:shd w:val="clear" w:color="auto" w:fill="ECF8F0"/>
            <w:vAlign w:val="bottom"/>
          </w:tcPr>
          <w:p w14:paraId="6562CD2C" w14:textId="77777777" w:rsidR="00CC0EEC" w:rsidRPr="006C72E6" w:rsidRDefault="00CC0EEC" w:rsidP="00CC0EEC">
            <w:pPr>
              <w:spacing w:after="120"/>
              <w:jc w:val="center"/>
              <w:rPr>
                <w:rFonts w:ascii="Arial" w:hAnsi="Arial" w:cs="Arial"/>
                <w:b/>
                <w:bCs/>
                <w:sz w:val="17"/>
                <w:szCs w:val="17"/>
              </w:rPr>
            </w:pPr>
            <w:r w:rsidRPr="006C72E6">
              <w:rPr>
                <w:rFonts w:ascii="Arial" w:hAnsi="Arial" w:cs="Arial"/>
                <w:b/>
                <w:bCs/>
                <w:sz w:val="17"/>
                <w:szCs w:val="17"/>
              </w:rPr>
              <w:t>Συγκρότημα Lamaque</w:t>
            </w:r>
          </w:p>
        </w:tc>
        <w:tc>
          <w:tcPr>
            <w:tcW w:w="1247" w:type="dxa"/>
            <w:shd w:val="clear" w:color="auto" w:fill="ECF8F0"/>
            <w:vAlign w:val="center"/>
          </w:tcPr>
          <w:p w14:paraId="1A660A72" w14:textId="7776F0F7" w:rsidR="00CC0EEC" w:rsidRPr="006C72E6" w:rsidRDefault="00CC0EEC" w:rsidP="00CC0EEC">
            <w:pPr>
              <w:spacing w:after="120"/>
              <w:jc w:val="center"/>
              <w:rPr>
                <w:rFonts w:ascii="Arial" w:hAnsi="Arial" w:cs="Arial"/>
                <w:b/>
                <w:bCs/>
                <w:sz w:val="17"/>
                <w:szCs w:val="17"/>
              </w:rPr>
            </w:pPr>
            <w:r w:rsidRPr="006C72E6">
              <w:rPr>
                <w:rFonts w:ascii="Arial" w:hAnsi="Arial" w:cs="Arial"/>
                <w:b/>
                <w:bCs/>
                <w:sz w:val="17"/>
                <w:szCs w:val="17"/>
              </w:rPr>
              <w:t>Kisladag</w:t>
            </w:r>
          </w:p>
        </w:tc>
        <w:tc>
          <w:tcPr>
            <w:tcW w:w="1333" w:type="dxa"/>
            <w:shd w:val="clear" w:color="auto" w:fill="ECF8F0"/>
            <w:vAlign w:val="center"/>
          </w:tcPr>
          <w:p w14:paraId="57AB7BBF" w14:textId="146E88DA" w:rsidR="00CC0EEC" w:rsidRPr="006C72E6" w:rsidRDefault="00CC0EEC" w:rsidP="00CC0EEC">
            <w:pPr>
              <w:spacing w:after="120"/>
              <w:jc w:val="center"/>
              <w:rPr>
                <w:rFonts w:ascii="Arial" w:hAnsi="Arial" w:cs="Arial"/>
                <w:b/>
                <w:bCs/>
                <w:sz w:val="17"/>
                <w:szCs w:val="17"/>
              </w:rPr>
            </w:pPr>
            <w:r w:rsidRPr="006C72E6">
              <w:rPr>
                <w:rFonts w:ascii="Arial" w:hAnsi="Arial" w:cs="Arial"/>
                <w:b/>
                <w:bCs/>
                <w:sz w:val="17"/>
                <w:szCs w:val="17"/>
              </w:rPr>
              <w:t>Efemcukuru</w:t>
            </w:r>
            <w:r w:rsidRPr="006C72E6">
              <w:rPr>
                <w:rFonts w:ascii="Arial" w:hAnsi="Arial" w:cs="Arial"/>
                <w:sz w:val="17"/>
                <w:szCs w:val="17"/>
                <w:vertAlign w:val="superscript"/>
              </w:rPr>
              <w:t>(3)</w:t>
            </w:r>
          </w:p>
        </w:tc>
        <w:tc>
          <w:tcPr>
            <w:tcW w:w="1247" w:type="dxa"/>
            <w:shd w:val="clear" w:color="auto" w:fill="ECF8F0"/>
            <w:vAlign w:val="center"/>
          </w:tcPr>
          <w:p w14:paraId="68B74166" w14:textId="77777777" w:rsidR="00CC0EEC" w:rsidRPr="006C72E6" w:rsidRDefault="00CC0EEC" w:rsidP="00CC0EEC">
            <w:pPr>
              <w:spacing w:after="120"/>
              <w:jc w:val="center"/>
              <w:rPr>
                <w:rFonts w:ascii="Arial" w:hAnsi="Arial" w:cs="Arial"/>
                <w:b/>
                <w:bCs/>
                <w:sz w:val="17"/>
                <w:szCs w:val="17"/>
              </w:rPr>
            </w:pPr>
            <w:r w:rsidRPr="006C72E6">
              <w:rPr>
                <w:rFonts w:ascii="Arial" w:hAnsi="Arial" w:cs="Arial"/>
                <w:b/>
                <w:bCs/>
                <w:sz w:val="17"/>
                <w:szCs w:val="17"/>
              </w:rPr>
              <w:t>Ολυμπιάδα(</w:t>
            </w:r>
            <w:r w:rsidRPr="006C72E6">
              <w:rPr>
                <w:rFonts w:ascii="Arial" w:hAnsi="Arial" w:cs="Arial"/>
                <w:b/>
                <w:bCs/>
                <w:sz w:val="17"/>
                <w:szCs w:val="17"/>
                <w:vertAlign w:val="superscript"/>
              </w:rPr>
              <w:t>3,4)</w:t>
            </w:r>
          </w:p>
        </w:tc>
        <w:tc>
          <w:tcPr>
            <w:tcW w:w="1208" w:type="dxa"/>
            <w:shd w:val="clear" w:color="auto" w:fill="ECF8F0"/>
            <w:vAlign w:val="center"/>
          </w:tcPr>
          <w:p w14:paraId="5954DF4A" w14:textId="01E0BC3F" w:rsidR="00CC0EEC" w:rsidRPr="006C72E6" w:rsidRDefault="00CC0EEC" w:rsidP="00CC0EEC">
            <w:pPr>
              <w:spacing w:after="120"/>
              <w:jc w:val="center"/>
              <w:rPr>
                <w:rFonts w:ascii="Arial" w:hAnsi="Arial" w:cs="Arial"/>
                <w:b/>
                <w:bCs/>
                <w:sz w:val="17"/>
                <w:szCs w:val="17"/>
              </w:rPr>
            </w:pPr>
            <w:r w:rsidRPr="006C72E6">
              <w:rPr>
                <w:rFonts w:ascii="Arial" w:hAnsi="Arial" w:cs="Arial"/>
                <w:b/>
                <w:bCs/>
                <w:sz w:val="17"/>
                <w:szCs w:val="17"/>
              </w:rPr>
              <w:t>Έργο Σκουρι</w:t>
            </w:r>
            <w:r>
              <w:rPr>
                <w:rFonts w:ascii="Arial" w:hAnsi="Arial" w:cs="Arial"/>
                <w:b/>
                <w:bCs/>
                <w:sz w:val="17"/>
                <w:szCs w:val="17"/>
              </w:rPr>
              <w:t>ών</w:t>
            </w:r>
          </w:p>
        </w:tc>
        <w:tc>
          <w:tcPr>
            <w:tcW w:w="1372" w:type="dxa"/>
            <w:shd w:val="clear" w:color="auto" w:fill="ECF8F0"/>
            <w:vAlign w:val="center"/>
          </w:tcPr>
          <w:p w14:paraId="2806EFAD" w14:textId="77777777" w:rsidR="00CC0EEC" w:rsidRPr="006C72E6" w:rsidRDefault="00CC0EEC" w:rsidP="00CC0EEC">
            <w:pPr>
              <w:spacing w:after="120"/>
              <w:jc w:val="center"/>
              <w:rPr>
                <w:rFonts w:ascii="Arial" w:hAnsi="Arial" w:cs="Arial"/>
                <w:b/>
                <w:bCs/>
                <w:sz w:val="17"/>
                <w:szCs w:val="17"/>
              </w:rPr>
            </w:pPr>
            <w:r w:rsidRPr="006C72E6">
              <w:rPr>
                <w:rFonts w:ascii="Arial" w:hAnsi="Arial" w:cs="Arial"/>
                <w:b/>
                <w:bCs/>
                <w:sz w:val="17"/>
                <w:szCs w:val="17"/>
              </w:rPr>
              <w:t>Σύνολο</w:t>
            </w:r>
          </w:p>
        </w:tc>
      </w:tr>
      <w:tr w:rsidR="00D80D12" w:rsidRPr="006C72E6" w14:paraId="6185DAB7" w14:textId="77777777" w:rsidTr="00291FB6">
        <w:trPr>
          <w:trHeight w:hRule="exact" w:val="397"/>
        </w:trPr>
        <w:tc>
          <w:tcPr>
            <w:tcW w:w="2127" w:type="dxa"/>
            <w:vAlign w:val="center"/>
          </w:tcPr>
          <w:p w14:paraId="681A9B43" w14:textId="0B75B3C7" w:rsidR="00556C6D" w:rsidRPr="006C72E6" w:rsidRDefault="00556C6D" w:rsidP="00556C6D">
            <w:pPr>
              <w:spacing w:after="120"/>
              <w:rPr>
                <w:rFonts w:ascii="Arial" w:hAnsi="Arial" w:cs="Arial"/>
                <w:b/>
                <w:bCs/>
                <w:sz w:val="16"/>
                <w:szCs w:val="16"/>
              </w:rPr>
            </w:pPr>
            <w:r w:rsidRPr="006C72E6">
              <w:rPr>
                <w:rFonts w:ascii="Arial" w:hAnsi="Arial" w:cs="Arial"/>
                <w:b/>
                <w:bCs/>
                <w:sz w:val="16"/>
                <w:szCs w:val="16"/>
              </w:rPr>
              <w:t xml:space="preserve">Gold Production </w:t>
            </w:r>
            <w:r w:rsidRPr="006C72E6">
              <w:rPr>
                <w:rFonts w:ascii="Arial" w:hAnsi="Arial" w:cs="Arial"/>
                <w:sz w:val="16"/>
                <w:szCs w:val="16"/>
              </w:rPr>
              <w:t xml:space="preserve">       </w:t>
            </w:r>
            <w:r w:rsidRPr="006C72E6">
              <w:rPr>
                <w:rFonts w:ascii="Arial" w:hAnsi="Arial" w:cs="Arial"/>
                <w:i/>
                <w:iCs/>
                <w:sz w:val="16"/>
                <w:szCs w:val="16"/>
              </w:rPr>
              <w:t>(000’ oz)</w:t>
            </w:r>
          </w:p>
        </w:tc>
        <w:tc>
          <w:tcPr>
            <w:tcW w:w="1247" w:type="dxa"/>
            <w:vAlign w:val="center"/>
          </w:tcPr>
          <w:p w14:paraId="5FC349CE" w14:textId="6AD42721"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170 – 180</w:t>
            </w:r>
          </w:p>
        </w:tc>
        <w:tc>
          <w:tcPr>
            <w:tcW w:w="1247" w:type="dxa"/>
            <w:vAlign w:val="center"/>
          </w:tcPr>
          <w:p w14:paraId="61F35653" w14:textId="7B141986"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160 – 170</w:t>
            </w:r>
          </w:p>
        </w:tc>
        <w:tc>
          <w:tcPr>
            <w:tcW w:w="1333" w:type="dxa"/>
            <w:vAlign w:val="center"/>
          </w:tcPr>
          <w:p w14:paraId="4F439CF8" w14:textId="77777777"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70 – 80</w:t>
            </w:r>
          </w:p>
        </w:tc>
        <w:tc>
          <w:tcPr>
            <w:tcW w:w="1247" w:type="dxa"/>
            <w:vAlign w:val="center"/>
          </w:tcPr>
          <w:p w14:paraId="6FE9C8BB" w14:textId="5E463DC1"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60 – 70</w:t>
            </w:r>
          </w:p>
        </w:tc>
        <w:tc>
          <w:tcPr>
            <w:tcW w:w="1208" w:type="dxa"/>
            <w:shd w:val="clear" w:color="auto" w:fill="EEECE1"/>
            <w:vAlign w:val="center"/>
          </w:tcPr>
          <w:p w14:paraId="76C6AAB0" w14:textId="47BBFADE" w:rsidR="00556C6D" w:rsidRPr="006C72E6" w:rsidRDefault="00556C6D" w:rsidP="00556C6D">
            <w:pPr>
              <w:spacing w:after="120"/>
              <w:jc w:val="center"/>
              <w:rPr>
                <w:rFonts w:ascii="Arial" w:hAnsi="Arial" w:cs="Arial"/>
                <w:sz w:val="16"/>
                <w:szCs w:val="16"/>
              </w:rPr>
            </w:pPr>
          </w:p>
        </w:tc>
        <w:tc>
          <w:tcPr>
            <w:tcW w:w="1372" w:type="dxa"/>
            <w:vAlign w:val="center"/>
          </w:tcPr>
          <w:p w14:paraId="3E8F0C69" w14:textId="02E21F35"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460 – 500</w:t>
            </w:r>
          </w:p>
        </w:tc>
      </w:tr>
      <w:tr w:rsidR="00D80D12" w:rsidRPr="006C72E6" w14:paraId="2537EAC6" w14:textId="77777777" w:rsidTr="00291FB6">
        <w:trPr>
          <w:trHeight w:hRule="exact" w:val="397"/>
        </w:trPr>
        <w:tc>
          <w:tcPr>
            <w:tcW w:w="2127" w:type="dxa"/>
            <w:vAlign w:val="center"/>
          </w:tcPr>
          <w:p w14:paraId="67249564" w14:textId="3B3BAF9E" w:rsidR="00556C6D" w:rsidRPr="006C72E6" w:rsidRDefault="00556C6D" w:rsidP="00556C6D">
            <w:pPr>
              <w:spacing w:after="120"/>
              <w:rPr>
                <w:rFonts w:ascii="Arial" w:hAnsi="Arial" w:cs="Arial"/>
                <w:b/>
                <w:bCs/>
                <w:sz w:val="16"/>
                <w:szCs w:val="16"/>
              </w:rPr>
            </w:pPr>
            <w:r w:rsidRPr="006C72E6">
              <w:rPr>
                <w:rFonts w:ascii="Arial" w:hAnsi="Arial" w:cs="Arial"/>
                <w:b/>
                <w:bCs/>
                <w:sz w:val="16"/>
                <w:szCs w:val="16"/>
              </w:rPr>
              <w:t xml:space="preserve">Silver Production       </w:t>
            </w:r>
            <w:r w:rsidRPr="006C72E6">
              <w:rPr>
                <w:rFonts w:ascii="Arial" w:hAnsi="Arial" w:cs="Arial"/>
                <w:i/>
                <w:iCs/>
                <w:sz w:val="16"/>
                <w:szCs w:val="16"/>
              </w:rPr>
              <w:t>(000’ oz)</w:t>
            </w:r>
          </w:p>
        </w:tc>
        <w:tc>
          <w:tcPr>
            <w:tcW w:w="1247" w:type="dxa"/>
            <w:shd w:val="clear" w:color="auto" w:fill="F2F2F2" w:themeFill="background1" w:themeFillShade="F2"/>
            <w:vAlign w:val="center"/>
          </w:tcPr>
          <w:p w14:paraId="01840149" w14:textId="77777777" w:rsidR="00556C6D" w:rsidRPr="006C72E6" w:rsidRDefault="00556C6D" w:rsidP="00556C6D">
            <w:pPr>
              <w:spacing w:after="120"/>
              <w:jc w:val="center"/>
              <w:rPr>
                <w:rFonts w:ascii="Arial" w:hAnsi="Arial" w:cs="Arial"/>
                <w:sz w:val="16"/>
                <w:szCs w:val="16"/>
              </w:rPr>
            </w:pPr>
          </w:p>
        </w:tc>
        <w:tc>
          <w:tcPr>
            <w:tcW w:w="1247" w:type="dxa"/>
            <w:shd w:val="clear" w:color="auto" w:fill="F2F2F2" w:themeFill="background1" w:themeFillShade="F2"/>
            <w:vAlign w:val="center"/>
          </w:tcPr>
          <w:p w14:paraId="40320CD6" w14:textId="77777777" w:rsidR="00556C6D" w:rsidRPr="006C72E6" w:rsidRDefault="00556C6D" w:rsidP="00556C6D">
            <w:pPr>
              <w:spacing w:after="120"/>
              <w:jc w:val="center"/>
              <w:rPr>
                <w:rFonts w:ascii="Arial" w:hAnsi="Arial" w:cs="Arial"/>
                <w:sz w:val="16"/>
                <w:szCs w:val="16"/>
              </w:rPr>
            </w:pPr>
          </w:p>
        </w:tc>
        <w:tc>
          <w:tcPr>
            <w:tcW w:w="1333" w:type="dxa"/>
            <w:shd w:val="clear" w:color="auto" w:fill="F2F2F2" w:themeFill="background1" w:themeFillShade="F2"/>
            <w:vAlign w:val="center"/>
          </w:tcPr>
          <w:p w14:paraId="5B2333E0" w14:textId="77777777" w:rsidR="00556C6D" w:rsidRPr="006C72E6" w:rsidRDefault="00556C6D" w:rsidP="00556C6D">
            <w:pPr>
              <w:spacing w:after="120"/>
              <w:jc w:val="center"/>
              <w:rPr>
                <w:rFonts w:ascii="Arial" w:hAnsi="Arial" w:cs="Arial"/>
                <w:sz w:val="16"/>
                <w:szCs w:val="16"/>
              </w:rPr>
            </w:pPr>
          </w:p>
        </w:tc>
        <w:tc>
          <w:tcPr>
            <w:tcW w:w="1247" w:type="dxa"/>
            <w:shd w:val="clear" w:color="auto" w:fill="auto"/>
            <w:vAlign w:val="center"/>
          </w:tcPr>
          <w:p w14:paraId="7089FE46" w14:textId="74FBE85B"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1,300 – 1,500</w:t>
            </w:r>
          </w:p>
        </w:tc>
        <w:tc>
          <w:tcPr>
            <w:tcW w:w="1208" w:type="dxa"/>
            <w:shd w:val="clear" w:color="auto" w:fill="F2F2F2" w:themeFill="background1" w:themeFillShade="F2"/>
            <w:vAlign w:val="center"/>
          </w:tcPr>
          <w:p w14:paraId="78ECC4D4" w14:textId="77777777" w:rsidR="00556C6D" w:rsidRPr="006C72E6" w:rsidRDefault="00556C6D" w:rsidP="00556C6D">
            <w:pPr>
              <w:spacing w:after="120"/>
              <w:jc w:val="center"/>
              <w:rPr>
                <w:rFonts w:ascii="Arial" w:hAnsi="Arial" w:cs="Arial"/>
                <w:sz w:val="16"/>
                <w:szCs w:val="16"/>
              </w:rPr>
            </w:pPr>
          </w:p>
        </w:tc>
        <w:tc>
          <w:tcPr>
            <w:tcW w:w="1372" w:type="dxa"/>
            <w:shd w:val="clear" w:color="auto" w:fill="auto"/>
            <w:vAlign w:val="center"/>
          </w:tcPr>
          <w:p w14:paraId="2E47ED88" w14:textId="37D9149C"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1,300 – 1,500</w:t>
            </w:r>
          </w:p>
        </w:tc>
      </w:tr>
      <w:tr w:rsidR="00D80D12" w:rsidRPr="006C72E6" w14:paraId="30EC4BF5" w14:textId="77777777" w:rsidTr="00291FB6">
        <w:trPr>
          <w:trHeight w:hRule="exact" w:val="397"/>
        </w:trPr>
        <w:tc>
          <w:tcPr>
            <w:tcW w:w="2127" w:type="dxa"/>
            <w:vAlign w:val="center"/>
          </w:tcPr>
          <w:p w14:paraId="6D3663F3" w14:textId="0657A921" w:rsidR="00556C6D" w:rsidRPr="006C72E6" w:rsidRDefault="00556C6D" w:rsidP="00556C6D">
            <w:pPr>
              <w:spacing w:after="120"/>
              <w:rPr>
                <w:rFonts w:ascii="Arial" w:hAnsi="Arial" w:cs="Arial"/>
                <w:b/>
                <w:bCs/>
                <w:sz w:val="16"/>
                <w:szCs w:val="16"/>
              </w:rPr>
            </w:pPr>
            <w:r w:rsidRPr="006C72E6">
              <w:rPr>
                <w:rFonts w:ascii="Arial" w:hAnsi="Arial" w:cs="Arial"/>
                <w:b/>
                <w:bCs/>
                <w:sz w:val="16"/>
                <w:szCs w:val="16"/>
              </w:rPr>
              <w:t xml:space="preserve">Lead Production        </w:t>
            </w:r>
            <w:r w:rsidRPr="006C72E6">
              <w:rPr>
                <w:rFonts w:ascii="Arial" w:hAnsi="Arial" w:cs="Arial"/>
                <w:i/>
                <w:iCs/>
                <w:sz w:val="16"/>
                <w:szCs w:val="16"/>
              </w:rPr>
              <w:t xml:space="preserve">(000’ t)  </w:t>
            </w:r>
          </w:p>
        </w:tc>
        <w:tc>
          <w:tcPr>
            <w:tcW w:w="1247" w:type="dxa"/>
            <w:shd w:val="clear" w:color="auto" w:fill="F2F2F2" w:themeFill="background1" w:themeFillShade="F2"/>
            <w:vAlign w:val="center"/>
          </w:tcPr>
          <w:p w14:paraId="5AA5600E" w14:textId="77777777" w:rsidR="00556C6D" w:rsidRPr="006C72E6" w:rsidRDefault="00556C6D" w:rsidP="00556C6D">
            <w:pPr>
              <w:spacing w:after="120"/>
              <w:jc w:val="center"/>
              <w:rPr>
                <w:rFonts w:ascii="Arial" w:hAnsi="Arial" w:cs="Arial"/>
                <w:sz w:val="16"/>
                <w:szCs w:val="16"/>
              </w:rPr>
            </w:pPr>
          </w:p>
        </w:tc>
        <w:tc>
          <w:tcPr>
            <w:tcW w:w="1247" w:type="dxa"/>
            <w:shd w:val="clear" w:color="auto" w:fill="F2F2F2" w:themeFill="background1" w:themeFillShade="F2"/>
            <w:vAlign w:val="center"/>
          </w:tcPr>
          <w:p w14:paraId="1562DFD1" w14:textId="77777777" w:rsidR="00556C6D" w:rsidRPr="006C72E6" w:rsidRDefault="00556C6D" w:rsidP="00556C6D">
            <w:pPr>
              <w:spacing w:after="120"/>
              <w:jc w:val="center"/>
              <w:rPr>
                <w:rFonts w:ascii="Arial" w:hAnsi="Arial" w:cs="Arial"/>
                <w:sz w:val="16"/>
                <w:szCs w:val="16"/>
              </w:rPr>
            </w:pPr>
          </w:p>
        </w:tc>
        <w:tc>
          <w:tcPr>
            <w:tcW w:w="1333" w:type="dxa"/>
            <w:shd w:val="clear" w:color="auto" w:fill="F2F2F2" w:themeFill="background1" w:themeFillShade="F2"/>
            <w:vAlign w:val="center"/>
          </w:tcPr>
          <w:p w14:paraId="0D310987" w14:textId="77777777" w:rsidR="00556C6D" w:rsidRPr="006C72E6" w:rsidRDefault="00556C6D" w:rsidP="00556C6D">
            <w:pPr>
              <w:spacing w:after="120"/>
              <w:jc w:val="center"/>
              <w:rPr>
                <w:rFonts w:ascii="Arial" w:hAnsi="Arial" w:cs="Arial"/>
                <w:sz w:val="16"/>
                <w:szCs w:val="16"/>
              </w:rPr>
            </w:pPr>
          </w:p>
        </w:tc>
        <w:tc>
          <w:tcPr>
            <w:tcW w:w="1247" w:type="dxa"/>
            <w:shd w:val="clear" w:color="auto" w:fill="auto"/>
            <w:vAlign w:val="center"/>
          </w:tcPr>
          <w:p w14:paraId="2D474727" w14:textId="7A8603D0"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12 – 15</w:t>
            </w:r>
          </w:p>
        </w:tc>
        <w:tc>
          <w:tcPr>
            <w:tcW w:w="1208" w:type="dxa"/>
            <w:shd w:val="clear" w:color="auto" w:fill="F2F2F2" w:themeFill="background1" w:themeFillShade="F2"/>
            <w:vAlign w:val="center"/>
          </w:tcPr>
          <w:p w14:paraId="2281651B" w14:textId="77777777" w:rsidR="00556C6D" w:rsidRPr="006C72E6" w:rsidRDefault="00556C6D" w:rsidP="00556C6D">
            <w:pPr>
              <w:spacing w:after="120"/>
              <w:jc w:val="center"/>
              <w:rPr>
                <w:rFonts w:ascii="Arial" w:hAnsi="Arial" w:cs="Arial"/>
                <w:sz w:val="16"/>
                <w:szCs w:val="16"/>
              </w:rPr>
            </w:pPr>
          </w:p>
        </w:tc>
        <w:tc>
          <w:tcPr>
            <w:tcW w:w="1372" w:type="dxa"/>
            <w:shd w:val="clear" w:color="auto" w:fill="auto"/>
            <w:vAlign w:val="center"/>
          </w:tcPr>
          <w:p w14:paraId="591090A7" w14:textId="21E5E7A3"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12 – 15</w:t>
            </w:r>
          </w:p>
        </w:tc>
      </w:tr>
      <w:tr w:rsidR="00D80D12" w:rsidRPr="006C72E6" w14:paraId="0A7C57F7" w14:textId="77777777" w:rsidTr="00291FB6">
        <w:trPr>
          <w:trHeight w:hRule="exact" w:val="397"/>
        </w:trPr>
        <w:tc>
          <w:tcPr>
            <w:tcW w:w="2127" w:type="dxa"/>
            <w:vAlign w:val="center"/>
          </w:tcPr>
          <w:p w14:paraId="742ACCB1" w14:textId="58FA44C3" w:rsidR="00556C6D" w:rsidRPr="006C72E6" w:rsidRDefault="00556C6D" w:rsidP="00556C6D">
            <w:pPr>
              <w:spacing w:after="120"/>
              <w:rPr>
                <w:rFonts w:ascii="Arial" w:hAnsi="Arial" w:cs="Arial"/>
                <w:b/>
                <w:bCs/>
                <w:sz w:val="16"/>
                <w:szCs w:val="16"/>
              </w:rPr>
            </w:pPr>
            <w:r w:rsidRPr="006C72E6">
              <w:rPr>
                <w:rFonts w:ascii="Arial" w:hAnsi="Arial" w:cs="Arial"/>
                <w:b/>
                <w:bCs/>
                <w:sz w:val="16"/>
                <w:szCs w:val="16"/>
              </w:rPr>
              <w:t xml:space="preserve">Zinc Production        </w:t>
            </w:r>
            <w:r w:rsidRPr="006C72E6">
              <w:rPr>
                <w:rFonts w:ascii="Arial" w:hAnsi="Arial" w:cs="Arial"/>
                <w:i/>
                <w:iCs/>
                <w:sz w:val="16"/>
                <w:szCs w:val="16"/>
              </w:rPr>
              <w:t>(000’ t)</w:t>
            </w:r>
          </w:p>
        </w:tc>
        <w:tc>
          <w:tcPr>
            <w:tcW w:w="1247" w:type="dxa"/>
            <w:shd w:val="clear" w:color="auto" w:fill="F2F2F2" w:themeFill="background1" w:themeFillShade="F2"/>
            <w:vAlign w:val="center"/>
          </w:tcPr>
          <w:p w14:paraId="28FBA893" w14:textId="77777777" w:rsidR="00556C6D" w:rsidRPr="006C72E6" w:rsidRDefault="00556C6D" w:rsidP="00556C6D">
            <w:pPr>
              <w:spacing w:after="120"/>
              <w:jc w:val="center"/>
              <w:rPr>
                <w:rFonts w:ascii="Arial" w:hAnsi="Arial" w:cs="Arial"/>
                <w:sz w:val="16"/>
                <w:szCs w:val="16"/>
              </w:rPr>
            </w:pPr>
          </w:p>
        </w:tc>
        <w:tc>
          <w:tcPr>
            <w:tcW w:w="1247" w:type="dxa"/>
            <w:shd w:val="clear" w:color="auto" w:fill="F2F2F2" w:themeFill="background1" w:themeFillShade="F2"/>
            <w:vAlign w:val="center"/>
          </w:tcPr>
          <w:p w14:paraId="597ED60F" w14:textId="77777777" w:rsidR="00556C6D" w:rsidRPr="006C72E6" w:rsidRDefault="00556C6D" w:rsidP="00556C6D">
            <w:pPr>
              <w:spacing w:after="120"/>
              <w:jc w:val="center"/>
              <w:rPr>
                <w:rFonts w:ascii="Arial" w:hAnsi="Arial" w:cs="Arial"/>
                <w:sz w:val="16"/>
                <w:szCs w:val="16"/>
              </w:rPr>
            </w:pPr>
          </w:p>
        </w:tc>
        <w:tc>
          <w:tcPr>
            <w:tcW w:w="1333" w:type="dxa"/>
            <w:shd w:val="clear" w:color="auto" w:fill="F2F2F2" w:themeFill="background1" w:themeFillShade="F2"/>
            <w:vAlign w:val="center"/>
          </w:tcPr>
          <w:p w14:paraId="71E6E24D" w14:textId="77777777" w:rsidR="00556C6D" w:rsidRPr="006C72E6" w:rsidRDefault="00556C6D" w:rsidP="00556C6D">
            <w:pPr>
              <w:spacing w:after="120"/>
              <w:jc w:val="center"/>
              <w:rPr>
                <w:rFonts w:ascii="Arial" w:hAnsi="Arial" w:cs="Arial"/>
                <w:sz w:val="16"/>
                <w:szCs w:val="16"/>
              </w:rPr>
            </w:pPr>
          </w:p>
        </w:tc>
        <w:tc>
          <w:tcPr>
            <w:tcW w:w="1247" w:type="dxa"/>
            <w:shd w:val="clear" w:color="auto" w:fill="auto"/>
            <w:vAlign w:val="center"/>
          </w:tcPr>
          <w:p w14:paraId="4184908B" w14:textId="24315B2E"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12 – 15</w:t>
            </w:r>
          </w:p>
        </w:tc>
        <w:tc>
          <w:tcPr>
            <w:tcW w:w="1208" w:type="dxa"/>
            <w:shd w:val="clear" w:color="auto" w:fill="F2F2F2" w:themeFill="background1" w:themeFillShade="F2"/>
            <w:vAlign w:val="center"/>
          </w:tcPr>
          <w:p w14:paraId="15AA05FB" w14:textId="77777777" w:rsidR="00556C6D" w:rsidRPr="006C72E6" w:rsidRDefault="00556C6D" w:rsidP="00556C6D">
            <w:pPr>
              <w:spacing w:after="120"/>
              <w:jc w:val="center"/>
              <w:rPr>
                <w:rFonts w:ascii="Arial" w:hAnsi="Arial" w:cs="Arial"/>
                <w:sz w:val="16"/>
                <w:szCs w:val="16"/>
              </w:rPr>
            </w:pPr>
          </w:p>
        </w:tc>
        <w:tc>
          <w:tcPr>
            <w:tcW w:w="1372" w:type="dxa"/>
            <w:shd w:val="clear" w:color="auto" w:fill="auto"/>
            <w:vAlign w:val="center"/>
          </w:tcPr>
          <w:p w14:paraId="36B42DB9" w14:textId="2FB5D157"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12 – 15</w:t>
            </w:r>
          </w:p>
        </w:tc>
      </w:tr>
      <w:tr w:rsidR="0017637B" w:rsidRPr="006C72E6" w14:paraId="6C1F69F2" w14:textId="77777777" w:rsidTr="008E47EF">
        <w:trPr>
          <w:trHeight w:hRule="exact" w:val="544"/>
        </w:trPr>
        <w:tc>
          <w:tcPr>
            <w:tcW w:w="2127" w:type="dxa"/>
            <w:vAlign w:val="center"/>
          </w:tcPr>
          <w:p w14:paraId="5F475C8B" w14:textId="17FF2E28" w:rsidR="00556C6D" w:rsidRPr="006C72E6" w:rsidRDefault="00556C6D" w:rsidP="00556C6D">
            <w:pPr>
              <w:spacing w:after="120"/>
              <w:rPr>
                <w:rFonts w:ascii="Arial" w:hAnsi="Arial" w:cs="Arial"/>
                <w:b/>
                <w:bCs/>
                <w:sz w:val="16"/>
                <w:szCs w:val="16"/>
              </w:rPr>
            </w:pPr>
            <w:r w:rsidRPr="006C72E6">
              <w:rPr>
                <w:rFonts w:ascii="Arial" w:hAnsi="Arial" w:cs="Arial"/>
                <w:b/>
                <w:bCs/>
                <w:sz w:val="16"/>
                <w:szCs w:val="16"/>
              </w:rPr>
              <w:t xml:space="preserve">Tonnes Processed  </w:t>
            </w:r>
            <w:r w:rsidRPr="006C72E6">
              <w:rPr>
                <w:rFonts w:ascii="Arial" w:hAnsi="Arial" w:cs="Arial"/>
                <w:i/>
                <w:iCs/>
                <w:sz w:val="16"/>
                <w:szCs w:val="16"/>
              </w:rPr>
              <w:t>(millions)</w:t>
            </w:r>
          </w:p>
        </w:tc>
        <w:tc>
          <w:tcPr>
            <w:tcW w:w="1247" w:type="dxa"/>
            <w:shd w:val="clear" w:color="auto" w:fill="auto"/>
            <w:vAlign w:val="center"/>
          </w:tcPr>
          <w:p w14:paraId="1D054E67" w14:textId="398F2876"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0.95 – 1.00</w:t>
            </w:r>
          </w:p>
        </w:tc>
        <w:tc>
          <w:tcPr>
            <w:tcW w:w="1247" w:type="dxa"/>
            <w:shd w:val="clear" w:color="auto" w:fill="auto"/>
            <w:vAlign w:val="center"/>
          </w:tcPr>
          <w:p w14:paraId="0775D7E4" w14:textId="5E830710"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13.20 – 13.60</w:t>
            </w:r>
          </w:p>
        </w:tc>
        <w:tc>
          <w:tcPr>
            <w:tcW w:w="1333" w:type="dxa"/>
            <w:shd w:val="clear" w:color="auto" w:fill="auto"/>
            <w:vAlign w:val="center"/>
          </w:tcPr>
          <w:p w14:paraId="3750949C" w14:textId="463BA507"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0.53 – 0.55</w:t>
            </w:r>
          </w:p>
        </w:tc>
        <w:tc>
          <w:tcPr>
            <w:tcW w:w="1247" w:type="dxa"/>
            <w:shd w:val="clear" w:color="auto" w:fill="auto"/>
            <w:vAlign w:val="center"/>
          </w:tcPr>
          <w:p w14:paraId="2961E809" w14:textId="4F1456E2"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0.50 – 0.52</w:t>
            </w:r>
          </w:p>
        </w:tc>
        <w:tc>
          <w:tcPr>
            <w:tcW w:w="1208" w:type="dxa"/>
            <w:shd w:val="clear" w:color="auto" w:fill="F2F2F2" w:themeFill="background1" w:themeFillShade="F2"/>
            <w:vAlign w:val="center"/>
          </w:tcPr>
          <w:p w14:paraId="2C0F6010" w14:textId="77777777" w:rsidR="00556C6D" w:rsidRPr="006C72E6" w:rsidRDefault="00556C6D" w:rsidP="00556C6D">
            <w:pPr>
              <w:spacing w:after="120"/>
              <w:jc w:val="center"/>
              <w:rPr>
                <w:rFonts w:ascii="Arial" w:hAnsi="Arial" w:cs="Arial"/>
                <w:sz w:val="16"/>
                <w:szCs w:val="16"/>
              </w:rPr>
            </w:pPr>
          </w:p>
        </w:tc>
        <w:tc>
          <w:tcPr>
            <w:tcW w:w="1372" w:type="dxa"/>
            <w:shd w:val="clear" w:color="auto" w:fill="F2F2F2" w:themeFill="background1" w:themeFillShade="F2"/>
            <w:vAlign w:val="center"/>
          </w:tcPr>
          <w:p w14:paraId="64E50187" w14:textId="77777777" w:rsidR="00556C6D" w:rsidRPr="006C72E6" w:rsidRDefault="00556C6D" w:rsidP="00556C6D">
            <w:pPr>
              <w:spacing w:after="120"/>
              <w:jc w:val="center"/>
              <w:rPr>
                <w:rFonts w:ascii="Arial" w:hAnsi="Arial" w:cs="Arial"/>
                <w:sz w:val="16"/>
                <w:szCs w:val="16"/>
              </w:rPr>
            </w:pPr>
          </w:p>
        </w:tc>
      </w:tr>
      <w:tr w:rsidR="0017637B" w:rsidRPr="006C72E6" w14:paraId="3BB4A694" w14:textId="77777777" w:rsidTr="008E47EF">
        <w:trPr>
          <w:trHeight w:hRule="exact" w:val="547"/>
        </w:trPr>
        <w:tc>
          <w:tcPr>
            <w:tcW w:w="2127" w:type="dxa"/>
            <w:vAlign w:val="center"/>
          </w:tcPr>
          <w:p w14:paraId="0C30605A" w14:textId="48580696" w:rsidR="00556C6D" w:rsidRPr="006C72E6" w:rsidRDefault="00556C6D" w:rsidP="00556C6D">
            <w:pPr>
              <w:spacing w:after="120"/>
              <w:rPr>
                <w:rFonts w:ascii="Arial" w:hAnsi="Arial" w:cs="Arial"/>
                <w:b/>
                <w:bCs/>
                <w:sz w:val="16"/>
                <w:szCs w:val="16"/>
              </w:rPr>
            </w:pPr>
            <w:r w:rsidRPr="006C72E6">
              <w:rPr>
                <w:rFonts w:ascii="Arial" w:hAnsi="Arial" w:cs="Arial"/>
                <w:b/>
                <w:bCs/>
                <w:sz w:val="16"/>
                <w:szCs w:val="16"/>
              </w:rPr>
              <w:t>Gold Grade</w:t>
            </w:r>
            <w:r w:rsidRPr="006C72E6">
              <w:rPr>
                <w:rFonts w:ascii="Arial" w:hAnsi="Arial" w:cs="Arial"/>
                <w:b/>
                <w:bCs/>
                <w:i/>
                <w:iCs/>
                <w:sz w:val="16"/>
                <w:szCs w:val="16"/>
              </w:rPr>
              <w:t xml:space="preserve">                  </w:t>
            </w:r>
            <w:r w:rsidRPr="006C72E6">
              <w:rPr>
                <w:rFonts w:ascii="Arial" w:hAnsi="Arial" w:cs="Arial"/>
                <w:i/>
                <w:iCs/>
                <w:sz w:val="16"/>
                <w:szCs w:val="16"/>
              </w:rPr>
              <w:t>(g/t)</w:t>
            </w:r>
          </w:p>
        </w:tc>
        <w:tc>
          <w:tcPr>
            <w:tcW w:w="1247" w:type="dxa"/>
            <w:shd w:val="clear" w:color="auto" w:fill="auto"/>
            <w:vAlign w:val="center"/>
          </w:tcPr>
          <w:p w14:paraId="42AB95F6" w14:textId="5860186B"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5.50 – 6.20</w:t>
            </w:r>
          </w:p>
        </w:tc>
        <w:tc>
          <w:tcPr>
            <w:tcW w:w="1247" w:type="dxa"/>
            <w:shd w:val="clear" w:color="auto" w:fill="auto"/>
            <w:vAlign w:val="center"/>
          </w:tcPr>
          <w:p w14:paraId="0FFB646D" w14:textId="671DF085"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0.65 – 0.75</w:t>
            </w:r>
          </w:p>
        </w:tc>
        <w:tc>
          <w:tcPr>
            <w:tcW w:w="1333" w:type="dxa"/>
            <w:shd w:val="clear" w:color="auto" w:fill="auto"/>
            <w:vAlign w:val="center"/>
          </w:tcPr>
          <w:p w14:paraId="06DC5FEC" w14:textId="6956CF88"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4.80 – 5.30</w:t>
            </w:r>
          </w:p>
        </w:tc>
        <w:tc>
          <w:tcPr>
            <w:tcW w:w="1247" w:type="dxa"/>
            <w:shd w:val="clear" w:color="auto" w:fill="auto"/>
            <w:vAlign w:val="center"/>
          </w:tcPr>
          <w:p w14:paraId="4F58872C" w14:textId="5924618D"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7.50 – 8.50</w:t>
            </w:r>
          </w:p>
        </w:tc>
        <w:tc>
          <w:tcPr>
            <w:tcW w:w="1208" w:type="dxa"/>
            <w:shd w:val="clear" w:color="auto" w:fill="F2F2F2" w:themeFill="background1" w:themeFillShade="F2"/>
            <w:vAlign w:val="center"/>
          </w:tcPr>
          <w:p w14:paraId="124683CB" w14:textId="77777777" w:rsidR="00556C6D" w:rsidRPr="006C72E6" w:rsidRDefault="00556C6D" w:rsidP="00556C6D">
            <w:pPr>
              <w:spacing w:after="120"/>
              <w:jc w:val="center"/>
              <w:rPr>
                <w:rFonts w:ascii="Arial" w:hAnsi="Arial" w:cs="Arial"/>
                <w:sz w:val="16"/>
                <w:szCs w:val="16"/>
              </w:rPr>
            </w:pPr>
          </w:p>
        </w:tc>
        <w:tc>
          <w:tcPr>
            <w:tcW w:w="1372" w:type="dxa"/>
            <w:shd w:val="clear" w:color="auto" w:fill="F2F2F2" w:themeFill="background1" w:themeFillShade="F2"/>
            <w:vAlign w:val="center"/>
          </w:tcPr>
          <w:p w14:paraId="363AD04C" w14:textId="77777777" w:rsidR="00556C6D" w:rsidRPr="006C72E6" w:rsidRDefault="00556C6D" w:rsidP="00556C6D">
            <w:pPr>
              <w:spacing w:after="120"/>
              <w:jc w:val="center"/>
              <w:rPr>
                <w:rFonts w:ascii="Arial" w:hAnsi="Arial" w:cs="Arial"/>
                <w:sz w:val="16"/>
                <w:szCs w:val="16"/>
              </w:rPr>
            </w:pPr>
          </w:p>
        </w:tc>
      </w:tr>
      <w:tr w:rsidR="00D80D12" w:rsidRPr="006C72E6" w14:paraId="3391163D" w14:textId="77777777" w:rsidTr="00291FB6">
        <w:trPr>
          <w:trHeight w:hRule="exact" w:val="397"/>
        </w:trPr>
        <w:tc>
          <w:tcPr>
            <w:tcW w:w="2127" w:type="dxa"/>
            <w:vAlign w:val="center"/>
          </w:tcPr>
          <w:p w14:paraId="1C675947" w14:textId="766DE584" w:rsidR="00556C6D" w:rsidRPr="00556C6D" w:rsidRDefault="00556C6D" w:rsidP="00556C6D">
            <w:pPr>
              <w:spacing w:after="120"/>
              <w:rPr>
                <w:rFonts w:ascii="Arial" w:hAnsi="Arial" w:cs="Arial"/>
                <w:b/>
                <w:bCs/>
                <w:sz w:val="16"/>
                <w:szCs w:val="16"/>
                <w:lang w:val="en-US"/>
              </w:rPr>
            </w:pPr>
            <w:r w:rsidRPr="00556C6D">
              <w:rPr>
                <w:rFonts w:ascii="Arial" w:hAnsi="Arial" w:cs="Arial"/>
                <w:b/>
                <w:bCs/>
                <w:sz w:val="16"/>
                <w:szCs w:val="16"/>
                <w:lang w:val="en-US"/>
              </w:rPr>
              <w:t>Total Cash Costs</w:t>
            </w:r>
            <w:r w:rsidRPr="00556C6D">
              <w:rPr>
                <w:rFonts w:ascii="Arial" w:hAnsi="Arial" w:cs="Arial"/>
                <w:sz w:val="16"/>
                <w:szCs w:val="16"/>
                <w:vertAlign w:val="superscript"/>
                <w:lang w:val="en-US"/>
              </w:rPr>
              <w:t>(1)</w:t>
            </w:r>
            <w:r w:rsidRPr="00556C6D">
              <w:rPr>
                <w:rFonts w:ascii="Arial" w:hAnsi="Arial" w:cs="Arial"/>
                <w:b/>
                <w:bCs/>
                <w:sz w:val="16"/>
                <w:szCs w:val="16"/>
                <w:lang w:val="en-US"/>
              </w:rPr>
              <w:t xml:space="preserve">       </w:t>
            </w:r>
            <w:r w:rsidRPr="00556C6D">
              <w:rPr>
                <w:rFonts w:ascii="Arial" w:hAnsi="Arial" w:cs="Arial"/>
                <w:i/>
                <w:iCs/>
                <w:sz w:val="16"/>
                <w:szCs w:val="16"/>
                <w:lang w:val="en-US"/>
              </w:rPr>
              <w:t>($/oz sold)</w:t>
            </w:r>
          </w:p>
        </w:tc>
        <w:tc>
          <w:tcPr>
            <w:tcW w:w="1247" w:type="dxa"/>
            <w:vAlign w:val="center"/>
          </w:tcPr>
          <w:p w14:paraId="43D8C6A5" w14:textId="77777777"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790 – 890</w:t>
            </w:r>
          </w:p>
        </w:tc>
        <w:tc>
          <w:tcPr>
            <w:tcW w:w="1247" w:type="dxa"/>
            <w:vAlign w:val="center"/>
          </w:tcPr>
          <w:p w14:paraId="6E497737" w14:textId="77777777"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1,020 – 1,120</w:t>
            </w:r>
          </w:p>
        </w:tc>
        <w:tc>
          <w:tcPr>
            <w:tcW w:w="1333" w:type="dxa"/>
            <w:vAlign w:val="center"/>
          </w:tcPr>
          <w:p w14:paraId="136F5991" w14:textId="77777777"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1,300 – 1,400</w:t>
            </w:r>
          </w:p>
        </w:tc>
        <w:tc>
          <w:tcPr>
            <w:tcW w:w="1247" w:type="dxa"/>
            <w:vAlign w:val="center"/>
          </w:tcPr>
          <w:p w14:paraId="31CBC866" w14:textId="13FD6842"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1,020 – 1,120</w:t>
            </w:r>
          </w:p>
        </w:tc>
        <w:tc>
          <w:tcPr>
            <w:tcW w:w="1208" w:type="dxa"/>
            <w:shd w:val="clear" w:color="auto" w:fill="F2F2F2" w:themeFill="background1" w:themeFillShade="F2"/>
            <w:vAlign w:val="center"/>
          </w:tcPr>
          <w:p w14:paraId="71D3B7C9" w14:textId="77777777" w:rsidR="00556C6D" w:rsidRPr="006C72E6" w:rsidRDefault="00556C6D" w:rsidP="00556C6D">
            <w:pPr>
              <w:spacing w:after="120"/>
              <w:jc w:val="center"/>
              <w:rPr>
                <w:rFonts w:ascii="Arial" w:hAnsi="Arial" w:cs="Arial"/>
                <w:sz w:val="16"/>
                <w:szCs w:val="16"/>
              </w:rPr>
            </w:pPr>
          </w:p>
        </w:tc>
        <w:tc>
          <w:tcPr>
            <w:tcW w:w="1372" w:type="dxa"/>
            <w:vAlign w:val="center"/>
          </w:tcPr>
          <w:p w14:paraId="623E85D7" w14:textId="3193ED4C"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980 – 1.080</w:t>
            </w:r>
            <w:r w:rsidRPr="006C72E6">
              <w:rPr>
                <w:rFonts w:ascii="Arial" w:hAnsi="Arial" w:cs="Arial"/>
                <w:sz w:val="16"/>
                <w:szCs w:val="16"/>
                <w:vertAlign w:val="superscript"/>
              </w:rPr>
              <w:t>(5)</w:t>
            </w:r>
          </w:p>
        </w:tc>
      </w:tr>
      <w:tr w:rsidR="0017637B" w:rsidRPr="006C72E6" w14:paraId="5BC39B2B" w14:textId="77777777" w:rsidTr="00291FB6">
        <w:trPr>
          <w:trHeight w:hRule="exact" w:val="397"/>
        </w:trPr>
        <w:tc>
          <w:tcPr>
            <w:tcW w:w="2127" w:type="dxa"/>
            <w:tcBorders>
              <w:bottom w:val="single" w:sz="4" w:space="0" w:color="auto"/>
            </w:tcBorders>
            <w:vAlign w:val="center"/>
          </w:tcPr>
          <w:p w14:paraId="600EF973" w14:textId="4D55C1A8" w:rsidR="00556C6D" w:rsidRPr="00556C6D" w:rsidRDefault="00556C6D" w:rsidP="00556C6D">
            <w:pPr>
              <w:spacing w:after="120"/>
              <w:rPr>
                <w:rFonts w:ascii="Arial" w:hAnsi="Arial" w:cs="Arial"/>
                <w:b/>
                <w:bCs/>
                <w:sz w:val="16"/>
                <w:szCs w:val="16"/>
                <w:lang w:val="en-US"/>
              </w:rPr>
            </w:pPr>
            <w:r w:rsidRPr="00556C6D">
              <w:rPr>
                <w:rFonts w:ascii="Arial" w:hAnsi="Arial" w:cs="Arial"/>
                <w:b/>
                <w:bCs/>
                <w:sz w:val="16"/>
                <w:szCs w:val="16"/>
                <w:lang w:val="en-US"/>
              </w:rPr>
              <w:t>All-in Sustaining Costs</w:t>
            </w:r>
            <w:r w:rsidRPr="00556C6D">
              <w:rPr>
                <w:rFonts w:ascii="Arial" w:hAnsi="Arial" w:cs="Arial"/>
                <w:sz w:val="16"/>
                <w:szCs w:val="16"/>
                <w:vertAlign w:val="superscript"/>
                <w:lang w:val="en-US"/>
              </w:rPr>
              <w:t>(1)</w:t>
            </w:r>
            <w:r w:rsidRPr="00556C6D">
              <w:rPr>
                <w:rFonts w:ascii="Arial" w:hAnsi="Arial" w:cs="Arial"/>
                <w:b/>
                <w:bCs/>
                <w:sz w:val="16"/>
                <w:szCs w:val="16"/>
                <w:lang w:val="en-US"/>
              </w:rPr>
              <w:t xml:space="preserve"> </w:t>
            </w:r>
            <w:r w:rsidRPr="00556C6D">
              <w:rPr>
                <w:rFonts w:ascii="Arial" w:hAnsi="Arial" w:cs="Arial"/>
                <w:i/>
                <w:iCs/>
                <w:sz w:val="16"/>
                <w:szCs w:val="16"/>
                <w:lang w:val="en-US"/>
              </w:rPr>
              <w:t>($/oz sold)</w:t>
            </w:r>
          </w:p>
        </w:tc>
        <w:tc>
          <w:tcPr>
            <w:tcW w:w="1247" w:type="dxa"/>
            <w:tcBorders>
              <w:bottom w:val="single" w:sz="4" w:space="0" w:color="auto"/>
            </w:tcBorders>
            <w:vAlign w:val="center"/>
          </w:tcPr>
          <w:p w14:paraId="3984A212" w14:textId="77777777"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1,290 – 1,390</w:t>
            </w:r>
          </w:p>
        </w:tc>
        <w:tc>
          <w:tcPr>
            <w:tcW w:w="1247" w:type="dxa"/>
            <w:tcBorders>
              <w:bottom w:val="single" w:sz="4" w:space="0" w:color="auto"/>
            </w:tcBorders>
            <w:vAlign w:val="center"/>
          </w:tcPr>
          <w:p w14:paraId="304A5898" w14:textId="77777777"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1,200 – 1,300</w:t>
            </w:r>
          </w:p>
        </w:tc>
        <w:tc>
          <w:tcPr>
            <w:tcW w:w="1333" w:type="dxa"/>
            <w:tcBorders>
              <w:bottom w:val="single" w:sz="4" w:space="0" w:color="auto"/>
            </w:tcBorders>
            <w:vAlign w:val="center"/>
          </w:tcPr>
          <w:p w14:paraId="2F3580B5" w14:textId="147F5237"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1,560 – 1,660</w:t>
            </w:r>
          </w:p>
        </w:tc>
        <w:tc>
          <w:tcPr>
            <w:tcW w:w="1247" w:type="dxa"/>
            <w:tcBorders>
              <w:bottom w:val="single" w:sz="4" w:space="0" w:color="auto"/>
            </w:tcBorders>
            <w:vAlign w:val="center"/>
          </w:tcPr>
          <w:p w14:paraId="32977027" w14:textId="2473F2C8"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1,280 – 1,380</w:t>
            </w:r>
          </w:p>
        </w:tc>
        <w:tc>
          <w:tcPr>
            <w:tcW w:w="1208" w:type="dxa"/>
            <w:tcBorders>
              <w:bottom w:val="single" w:sz="4" w:space="0" w:color="auto"/>
            </w:tcBorders>
            <w:shd w:val="clear" w:color="auto" w:fill="F2F2F2" w:themeFill="background1" w:themeFillShade="F2"/>
            <w:vAlign w:val="center"/>
          </w:tcPr>
          <w:p w14:paraId="76B65E2F" w14:textId="77777777" w:rsidR="00556C6D" w:rsidRPr="006C72E6" w:rsidRDefault="00556C6D" w:rsidP="00556C6D">
            <w:pPr>
              <w:spacing w:after="120"/>
              <w:jc w:val="center"/>
              <w:rPr>
                <w:rFonts w:ascii="Arial" w:hAnsi="Arial" w:cs="Arial"/>
                <w:sz w:val="16"/>
                <w:szCs w:val="16"/>
              </w:rPr>
            </w:pPr>
          </w:p>
        </w:tc>
        <w:tc>
          <w:tcPr>
            <w:tcW w:w="1372" w:type="dxa"/>
            <w:tcBorders>
              <w:bottom w:val="single" w:sz="4" w:space="0" w:color="auto"/>
            </w:tcBorders>
            <w:vAlign w:val="center"/>
          </w:tcPr>
          <w:p w14:paraId="4D481EFE" w14:textId="6DB7B3A0"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1,370 – 1,470</w:t>
            </w:r>
            <w:r w:rsidRPr="006C72E6">
              <w:rPr>
                <w:rFonts w:ascii="Arial" w:hAnsi="Arial" w:cs="Arial"/>
                <w:sz w:val="16"/>
                <w:szCs w:val="16"/>
                <w:vertAlign w:val="superscript"/>
              </w:rPr>
              <w:t>(5)</w:t>
            </w:r>
          </w:p>
        </w:tc>
      </w:tr>
      <w:tr w:rsidR="00D80D12" w:rsidRPr="006C72E6" w14:paraId="42224DF1" w14:textId="77777777" w:rsidTr="00291FB6">
        <w:trPr>
          <w:trHeight w:hRule="exact" w:val="397"/>
        </w:trPr>
        <w:tc>
          <w:tcPr>
            <w:tcW w:w="2127" w:type="dxa"/>
            <w:tcBorders>
              <w:right w:val="single" w:sz="4" w:space="0" w:color="auto"/>
            </w:tcBorders>
            <w:vAlign w:val="center"/>
          </w:tcPr>
          <w:p w14:paraId="7A24A266" w14:textId="24A568D2" w:rsidR="00556C6D" w:rsidRPr="006C72E6" w:rsidRDefault="00556C6D" w:rsidP="00556C6D">
            <w:pPr>
              <w:spacing w:after="120"/>
              <w:rPr>
                <w:rFonts w:ascii="Arial" w:hAnsi="Arial" w:cs="Arial"/>
                <w:b/>
                <w:bCs/>
                <w:sz w:val="16"/>
                <w:szCs w:val="16"/>
              </w:rPr>
            </w:pPr>
            <w:r w:rsidRPr="006C72E6">
              <w:rPr>
                <w:rFonts w:ascii="Arial" w:hAnsi="Arial" w:cs="Arial"/>
                <w:b/>
                <w:bCs/>
                <w:sz w:val="16"/>
                <w:szCs w:val="16"/>
              </w:rPr>
              <w:t xml:space="preserve">Capital Expenditures         </w:t>
            </w:r>
            <w:r w:rsidRPr="006C72E6">
              <w:rPr>
                <w:rFonts w:ascii="Arial" w:hAnsi="Arial" w:cs="Arial"/>
                <w:i/>
                <w:iCs/>
                <w:sz w:val="16"/>
                <w:szCs w:val="16"/>
              </w:rPr>
              <w:t>($ millions)</w:t>
            </w:r>
          </w:p>
        </w:tc>
        <w:tc>
          <w:tcPr>
            <w:tcW w:w="1247"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A7724D4" w14:textId="77777777" w:rsidR="00556C6D" w:rsidRPr="006C72E6" w:rsidRDefault="00556C6D" w:rsidP="00556C6D">
            <w:pPr>
              <w:spacing w:after="120"/>
              <w:jc w:val="center"/>
              <w:rPr>
                <w:rFonts w:ascii="Arial" w:hAnsi="Arial" w:cs="Arial"/>
                <w:sz w:val="16"/>
                <w:szCs w:val="16"/>
              </w:rPr>
            </w:pPr>
          </w:p>
        </w:tc>
        <w:tc>
          <w:tcPr>
            <w:tcW w:w="1247" w:type="dxa"/>
            <w:tcBorders>
              <w:top w:val="single" w:sz="4" w:space="0" w:color="auto"/>
              <w:left w:val="nil"/>
              <w:bottom w:val="single" w:sz="4" w:space="0" w:color="auto"/>
              <w:right w:val="nil"/>
            </w:tcBorders>
            <w:shd w:val="clear" w:color="auto" w:fill="F2F2F2" w:themeFill="background1" w:themeFillShade="F2"/>
            <w:vAlign w:val="center"/>
          </w:tcPr>
          <w:p w14:paraId="77CCC9EE" w14:textId="77777777" w:rsidR="00556C6D" w:rsidRPr="006C72E6" w:rsidRDefault="00556C6D" w:rsidP="00556C6D">
            <w:pPr>
              <w:spacing w:after="120"/>
              <w:jc w:val="center"/>
              <w:rPr>
                <w:rFonts w:ascii="Arial" w:hAnsi="Arial" w:cs="Arial"/>
                <w:sz w:val="16"/>
                <w:szCs w:val="16"/>
              </w:rPr>
            </w:pPr>
          </w:p>
        </w:tc>
        <w:tc>
          <w:tcPr>
            <w:tcW w:w="1333" w:type="dxa"/>
            <w:tcBorders>
              <w:top w:val="single" w:sz="4" w:space="0" w:color="auto"/>
              <w:left w:val="nil"/>
              <w:bottom w:val="single" w:sz="4" w:space="0" w:color="auto"/>
              <w:right w:val="nil"/>
            </w:tcBorders>
            <w:shd w:val="clear" w:color="auto" w:fill="F2F2F2" w:themeFill="background1" w:themeFillShade="F2"/>
            <w:vAlign w:val="center"/>
          </w:tcPr>
          <w:p w14:paraId="066BA567" w14:textId="77777777" w:rsidR="00556C6D" w:rsidRPr="006C72E6" w:rsidRDefault="00556C6D" w:rsidP="00556C6D">
            <w:pPr>
              <w:spacing w:after="120"/>
              <w:jc w:val="center"/>
              <w:rPr>
                <w:rFonts w:ascii="Arial" w:hAnsi="Arial" w:cs="Arial"/>
                <w:sz w:val="16"/>
                <w:szCs w:val="16"/>
              </w:rPr>
            </w:pPr>
          </w:p>
        </w:tc>
        <w:tc>
          <w:tcPr>
            <w:tcW w:w="1247" w:type="dxa"/>
            <w:tcBorders>
              <w:top w:val="single" w:sz="4" w:space="0" w:color="auto"/>
              <w:left w:val="nil"/>
              <w:bottom w:val="single" w:sz="4" w:space="0" w:color="auto"/>
              <w:right w:val="nil"/>
            </w:tcBorders>
            <w:shd w:val="clear" w:color="auto" w:fill="F2F2F2" w:themeFill="background1" w:themeFillShade="F2"/>
            <w:vAlign w:val="center"/>
          </w:tcPr>
          <w:p w14:paraId="6AB5104B" w14:textId="77777777" w:rsidR="00556C6D" w:rsidRPr="006C72E6" w:rsidRDefault="00556C6D" w:rsidP="00556C6D">
            <w:pPr>
              <w:spacing w:after="120"/>
              <w:jc w:val="center"/>
              <w:rPr>
                <w:rFonts w:ascii="Arial" w:hAnsi="Arial" w:cs="Arial"/>
                <w:sz w:val="16"/>
                <w:szCs w:val="16"/>
              </w:rPr>
            </w:pPr>
          </w:p>
        </w:tc>
        <w:tc>
          <w:tcPr>
            <w:tcW w:w="1208" w:type="dxa"/>
            <w:tcBorders>
              <w:top w:val="single" w:sz="4" w:space="0" w:color="auto"/>
              <w:left w:val="nil"/>
              <w:bottom w:val="single" w:sz="4" w:space="0" w:color="auto"/>
              <w:right w:val="nil"/>
            </w:tcBorders>
            <w:shd w:val="clear" w:color="auto" w:fill="F2F2F2" w:themeFill="background1" w:themeFillShade="F2"/>
            <w:vAlign w:val="center"/>
          </w:tcPr>
          <w:p w14:paraId="3F3F1012" w14:textId="77777777" w:rsidR="00556C6D" w:rsidRPr="006C72E6" w:rsidRDefault="00556C6D" w:rsidP="00556C6D">
            <w:pPr>
              <w:spacing w:after="120"/>
              <w:jc w:val="center"/>
              <w:rPr>
                <w:rFonts w:ascii="Arial" w:hAnsi="Arial" w:cs="Arial"/>
                <w:sz w:val="16"/>
                <w:szCs w:val="16"/>
              </w:rPr>
            </w:pPr>
          </w:p>
        </w:tc>
        <w:tc>
          <w:tcPr>
            <w:tcW w:w="137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15861EC" w14:textId="77777777" w:rsidR="00556C6D" w:rsidRPr="006C72E6" w:rsidRDefault="00556C6D" w:rsidP="00556C6D">
            <w:pPr>
              <w:spacing w:after="120"/>
              <w:jc w:val="center"/>
              <w:rPr>
                <w:rFonts w:ascii="Arial" w:hAnsi="Arial" w:cs="Arial"/>
                <w:sz w:val="16"/>
                <w:szCs w:val="16"/>
              </w:rPr>
            </w:pPr>
          </w:p>
        </w:tc>
      </w:tr>
      <w:tr w:rsidR="0017637B" w:rsidRPr="006C72E6" w14:paraId="23D351DA" w14:textId="77777777" w:rsidTr="00291FB6">
        <w:trPr>
          <w:trHeight w:hRule="exact" w:val="397"/>
        </w:trPr>
        <w:tc>
          <w:tcPr>
            <w:tcW w:w="2127" w:type="dxa"/>
            <w:vAlign w:val="center"/>
          </w:tcPr>
          <w:p w14:paraId="39150080" w14:textId="63612601" w:rsidR="00556C6D" w:rsidRPr="006C72E6" w:rsidRDefault="00556C6D" w:rsidP="00150A9D">
            <w:pPr>
              <w:spacing w:after="120"/>
              <w:ind w:left="176"/>
              <w:rPr>
                <w:rFonts w:ascii="Arial" w:hAnsi="Arial" w:cs="Arial"/>
                <w:sz w:val="16"/>
                <w:szCs w:val="16"/>
              </w:rPr>
            </w:pPr>
            <w:r w:rsidRPr="006C72E6">
              <w:rPr>
                <w:rFonts w:ascii="Arial" w:hAnsi="Arial" w:cs="Arial"/>
                <w:b/>
                <w:bCs/>
                <w:sz w:val="16"/>
                <w:szCs w:val="16"/>
              </w:rPr>
              <w:t>Sustaining Capital</w:t>
            </w:r>
            <w:r w:rsidRPr="006C72E6">
              <w:rPr>
                <w:rFonts w:ascii="Arial" w:hAnsi="Arial" w:cs="Arial"/>
                <w:sz w:val="16"/>
                <w:szCs w:val="16"/>
                <w:vertAlign w:val="superscript"/>
              </w:rPr>
              <w:t xml:space="preserve">(1)           </w:t>
            </w:r>
            <w:r w:rsidRPr="006C72E6">
              <w:rPr>
                <w:rFonts w:ascii="Arial" w:hAnsi="Arial" w:cs="Arial"/>
                <w:sz w:val="16"/>
                <w:szCs w:val="16"/>
              </w:rPr>
              <w:t xml:space="preserve">            </w:t>
            </w:r>
          </w:p>
        </w:tc>
        <w:tc>
          <w:tcPr>
            <w:tcW w:w="1247" w:type="dxa"/>
            <w:tcBorders>
              <w:top w:val="single" w:sz="4" w:space="0" w:color="auto"/>
            </w:tcBorders>
            <w:vAlign w:val="center"/>
          </w:tcPr>
          <w:p w14:paraId="75C10231" w14:textId="6F20A592"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85 – 95</w:t>
            </w:r>
          </w:p>
        </w:tc>
        <w:tc>
          <w:tcPr>
            <w:tcW w:w="1247" w:type="dxa"/>
            <w:tcBorders>
              <w:top w:val="single" w:sz="4" w:space="0" w:color="auto"/>
            </w:tcBorders>
            <w:vAlign w:val="center"/>
          </w:tcPr>
          <w:p w14:paraId="087E0DE3" w14:textId="4D242277"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25 – 30</w:t>
            </w:r>
          </w:p>
        </w:tc>
        <w:tc>
          <w:tcPr>
            <w:tcW w:w="1333" w:type="dxa"/>
            <w:tcBorders>
              <w:top w:val="single" w:sz="4" w:space="0" w:color="auto"/>
            </w:tcBorders>
            <w:vAlign w:val="center"/>
          </w:tcPr>
          <w:p w14:paraId="66E76925" w14:textId="7E4B0193"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15 – 20</w:t>
            </w:r>
          </w:p>
        </w:tc>
        <w:tc>
          <w:tcPr>
            <w:tcW w:w="1247" w:type="dxa"/>
            <w:tcBorders>
              <w:top w:val="single" w:sz="4" w:space="0" w:color="auto"/>
            </w:tcBorders>
            <w:vAlign w:val="center"/>
          </w:tcPr>
          <w:p w14:paraId="56B9ACAC" w14:textId="10D0AE9D"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20 – 25</w:t>
            </w:r>
          </w:p>
        </w:tc>
        <w:tc>
          <w:tcPr>
            <w:tcW w:w="1208" w:type="dxa"/>
            <w:tcBorders>
              <w:top w:val="single" w:sz="4" w:space="0" w:color="auto"/>
            </w:tcBorders>
            <w:shd w:val="clear" w:color="auto" w:fill="F2F2F2" w:themeFill="background1" w:themeFillShade="F2"/>
            <w:vAlign w:val="center"/>
          </w:tcPr>
          <w:p w14:paraId="2C222278" w14:textId="77777777" w:rsidR="00556C6D" w:rsidRPr="006C72E6" w:rsidRDefault="00556C6D" w:rsidP="00556C6D">
            <w:pPr>
              <w:spacing w:after="120"/>
              <w:jc w:val="center"/>
              <w:rPr>
                <w:rFonts w:ascii="Arial" w:hAnsi="Arial" w:cs="Arial"/>
                <w:sz w:val="16"/>
                <w:szCs w:val="16"/>
              </w:rPr>
            </w:pPr>
          </w:p>
        </w:tc>
        <w:tc>
          <w:tcPr>
            <w:tcW w:w="1372" w:type="dxa"/>
            <w:tcBorders>
              <w:top w:val="single" w:sz="4" w:space="0" w:color="auto"/>
            </w:tcBorders>
            <w:vAlign w:val="center"/>
          </w:tcPr>
          <w:p w14:paraId="34912338" w14:textId="1D8F5219" w:rsidR="00556C6D" w:rsidRPr="006C72E6" w:rsidRDefault="00556C6D" w:rsidP="00556C6D">
            <w:pPr>
              <w:spacing w:after="120"/>
              <w:jc w:val="center"/>
              <w:rPr>
                <w:rFonts w:ascii="Arial" w:hAnsi="Arial" w:cs="Arial"/>
                <w:sz w:val="16"/>
                <w:szCs w:val="16"/>
              </w:rPr>
            </w:pPr>
            <w:r w:rsidRPr="006C72E6">
              <w:rPr>
                <w:rFonts w:ascii="Arial" w:hAnsi="Arial" w:cs="Arial"/>
                <w:sz w:val="16"/>
                <w:szCs w:val="16"/>
              </w:rPr>
              <w:t>145 – 170</w:t>
            </w:r>
          </w:p>
        </w:tc>
      </w:tr>
      <w:tr w:rsidR="009C46FB" w:rsidRPr="006C72E6" w14:paraId="70AD739E" w14:textId="77777777" w:rsidTr="006B2679">
        <w:trPr>
          <w:trHeight w:hRule="exact" w:val="397"/>
        </w:trPr>
        <w:tc>
          <w:tcPr>
            <w:tcW w:w="2127" w:type="dxa"/>
            <w:vAlign w:val="center"/>
          </w:tcPr>
          <w:p w14:paraId="7CF7CFB7" w14:textId="39BD2A50" w:rsidR="009C46FB" w:rsidRPr="006C72E6" w:rsidRDefault="009C46FB" w:rsidP="00150A9D">
            <w:pPr>
              <w:spacing w:after="120"/>
              <w:ind w:left="176"/>
              <w:rPr>
                <w:rFonts w:ascii="Arial" w:hAnsi="Arial" w:cs="Arial"/>
                <w:b/>
                <w:bCs/>
                <w:sz w:val="16"/>
                <w:szCs w:val="16"/>
              </w:rPr>
            </w:pPr>
            <w:r>
              <w:rPr>
                <w:rFonts w:ascii="Arial" w:hAnsi="Arial" w:cs="Arial"/>
                <w:b/>
                <w:bCs/>
                <w:sz w:val="16"/>
                <w:szCs w:val="16"/>
              </w:rPr>
              <w:t xml:space="preserve">Operations - </w:t>
            </w:r>
            <w:r w:rsidRPr="002243C8">
              <w:rPr>
                <w:rFonts w:ascii="Arial" w:hAnsi="Arial" w:cs="Arial"/>
                <w:b/>
                <w:bCs/>
                <w:sz w:val="16"/>
                <w:szCs w:val="16"/>
              </w:rPr>
              <w:t>Growth Capital</w:t>
            </w:r>
            <w:r w:rsidRPr="00717D46">
              <w:rPr>
                <w:rFonts w:ascii="Arial" w:hAnsi="Arial" w:cs="Arial"/>
                <w:sz w:val="16"/>
                <w:szCs w:val="16"/>
                <w:vertAlign w:val="superscript"/>
              </w:rPr>
              <w:t>(1,2)</w:t>
            </w:r>
          </w:p>
        </w:tc>
        <w:tc>
          <w:tcPr>
            <w:tcW w:w="1247" w:type="dxa"/>
            <w:vAlign w:val="center"/>
          </w:tcPr>
          <w:p w14:paraId="49E8902C" w14:textId="66C618C7" w:rsidR="009C46FB" w:rsidRPr="006C72E6" w:rsidRDefault="009C46FB" w:rsidP="009C46FB">
            <w:pPr>
              <w:spacing w:after="120"/>
              <w:jc w:val="center"/>
              <w:rPr>
                <w:rFonts w:ascii="Arial" w:hAnsi="Arial" w:cs="Arial"/>
                <w:sz w:val="16"/>
                <w:szCs w:val="16"/>
              </w:rPr>
            </w:pPr>
            <w:r w:rsidRPr="00EA00A0">
              <w:rPr>
                <w:rFonts w:ascii="Arial" w:hAnsi="Arial" w:cs="Arial"/>
                <w:sz w:val="16"/>
                <w:szCs w:val="16"/>
              </w:rPr>
              <w:t>70 – 75</w:t>
            </w:r>
          </w:p>
        </w:tc>
        <w:tc>
          <w:tcPr>
            <w:tcW w:w="1247" w:type="dxa"/>
            <w:vAlign w:val="center"/>
          </w:tcPr>
          <w:p w14:paraId="79EFC903" w14:textId="2ADF210E" w:rsidR="009C46FB" w:rsidRPr="006C72E6" w:rsidRDefault="009C46FB" w:rsidP="009C46FB">
            <w:pPr>
              <w:spacing w:after="120"/>
              <w:jc w:val="center"/>
              <w:rPr>
                <w:rFonts w:ascii="Arial" w:hAnsi="Arial" w:cs="Arial"/>
                <w:sz w:val="16"/>
                <w:szCs w:val="16"/>
              </w:rPr>
            </w:pPr>
            <w:r w:rsidRPr="00EA00A0">
              <w:rPr>
                <w:rFonts w:ascii="Arial" w:hAnsi="Arial" w:cs="Arial"/>
                <w:sz w:val="16"/>
                <w:szCs w:val="16"/>
              </w:rPr>
              <w:t>1</w:t>
            </w:r>
            <w:r>
              <w:rPr>
                <w:rFonts w:ascii="Arial" w:hAnsi="Arial" w:cs="Arial"/>
                <w:sz w:val="16"/>
                <w:szCs w:val="16"/>
              </w:rPr>
              <w:t>15</w:t>
            </w:r>
            <w:r w:rsidRPr="00EA00A0">
              <w:rPr>
                <w:rFonts w:ascii="Arial" w:hAnsi="Arial" w:cs="Arial"/>
                <w:sz w:val="16"/>
                <w:szCs w:val="16"/>
              </w:rPr>
              <w:t xml:space="preserve"> – 1</w:t>
            </w:r>
            <w:r>
              <w:rPr>
                <w:rFonts w:ascii="Arial" w:hAnsi="Arial" w:cs="Arial"/>
                <w:sz w:val="16"/>
                <w:szCs w:val="16"/>
              </w:rPr>
              <w:t>25</w:t>
            </w:r>
          </w:p>
        </w:tc>
        <w:tc>
          <w:tcPr>
            <w:tcW w:w="1333" w:type="dxa"/>
            <w:vAlign w:val="center"/>
          </w:tcPr>
          <w:p w14:paraId="7EFF80E8" w14:textId="2AAAEDAF" w:rsidR="009C46FB" w:rsidRPr="006C72E6" w:rsidRDefault="009C46FB" w:rsidP="009C46FB">
            <w:pPr>
              <w:spacing w:after="120"/>
              <w:jc w:val="center"/>
              <w:rPr>
                <w:rFonts w:ascii="Arial" w:hAnsi="Arial" w:cs="Arial"/>
                <w:sz w:val="16"/>
                <w:szCs w:val="16"/>
              </w:rPr>
            </w:pPr>
            <w:r w:rsidRPr="00EA00A0">
              <w:rPr>
                <w:rFonts w:ascii="Arial" w:hAnsi="Arial" w:cs="Arial"/>
                <w:sz w:val="16"/>
                <w:szCs w:val="16"/>
              </w:rPr>
              <w:t>15 – 20</w:t>
            </w:r>
          </w:p>
        </w:tc>
        <w:tc>
          <w:tcPr>
            <w:tcW w:w="1247" w:type="dxa"/>
            <w:shd w:val="clear" w:color="auto" w:fill="auto"/>
            <w:vAlign w:val="center"/>
          </w:tcPr>
          <w:p w14:paraId="2B013832" w14:textId="49B52B86" w:rsidR="009C46FB" w:rsidRPr="006C72E6" w:rsidRDefault="009C46FB" w:rsidP="009C46FB">
            <w:pPr>
              <w:spacing w:after="120"/>
              <w:jc w:val="center"/>
              <w:rPr>
                <w:rFonts w:ascii="Arial" w:hAnsi="Arial" w:cs="Arial"/>
                <w:sz w:val="16"/>
                <w:szCs w:val="16"/>
              </w:rPr>
            </w:pPr>
            <w:r w:rsidRPr="00EA00A0">
              <w:rPr>
                <w:rFonts w:ascii="Arial" w:hAnsi="Arial" w:cs="Arial"/>
                <w:sz w:val="16"/>
                <w:szCs w:val="16"/>
              </w:rPr>
              <w:t>45 – 50</w:t>
            </w:r>
          </w:p>
        </w:tc>
        <w:tc>
          <w:tcPr>
            <w:tcW w:w="1208" w:type="dxa"/>
            <w:shd w:val="clear" w:color="auto" w:fill="auto"/>
            <w:vAlign w:val="center"/>
          </w:tcPr>
          <w:p w14:paraId="68D5B000" w14:textId="29960FBF" w:rsidR="009C46FB" w:rsidRPr="006C72E6" w:rsidRDefault="009C46FB" w:rsidP="009C46FB">
            <w:pPr>
              <w:spacing w:after="120"/>
              <w:jc w:val="center"/>
              <w:rPr>
                <w:rFonts w:ascii="Arial" w:hAnsi="Arial" w:cs="Arial"/>
                <w:sz w:val="16"/>
                <w:szCs w:val="16"/>
              </w:rPr>
            </w:pPr>
          </w:p>
        </w:tc>
        <w:tc>
          <w:tcPr>
            <w:tcW w:w="1372" w:type="dxa"/>
            <w:shd w:val="clear" w:color="auto" w:fill="auto"/>
            <w:vAlign w:val="center"/>
          </w:tcPr>
          <w:p w14:paraId="68CDE808" w14:textId="6CAD5E5E" w:rsidR="009C46FB" w:rsidRPr="006C72E6" w:rsidRDefault="009C46FB" w:rsidP="009C46FB">
            <w:pPr>
              <w:spacing w:after="120"/>
              <w:jc w:val="center"/>
              <w:rPr>
                <w:rFonts w:ascii="Arial" w:hAnsi="Arial" w:cs="Arial"/>
                <w:color w:val="FF0000"/>
                <w:sz w:val="16"/>
                <w:szCs w:val="16"/>
              </w:rPr>
            </w:pPr>
            <w:r w:rsidRPr="00980F0F">
              <w:rPr>
                <w:rFonts w:ascii="Arial" w:hAnsi="Arial" w:cs="Arial"/>
                <w:sz w:val="16"/>
                <w:szCs w:val="16"/>
              </w:rPr>
              <w:t>245 - 270</w:t>
            </w:r>
          </w:p>
        </w:tc>
      </w:tr>
      <w:tr w:rsidR="00D80D12" w:rsidRPr="006C72E6" w14:paraId="5C2001F0" w14:textId="77777777" w:rsidTr="005F65F1">
        <w:trPr>
          <w:trHeight w:hRule="exact" w:val="579"/>
        </w:trPr>
        <w:tc>
          <w:tcPr>
            <w:tcW w:w="2127" w:type="dxa"/>
            <w:tcMar>
              <w:left w:w="230" w:type="dxa"/>
              <w:right w:w="115" w:type="dxa"/>
            </w:tcMar>
            <w:vAlign w:val="center"/>
          </w:tcPr>
          <w:p w14:paraId="7BCE91ED" w14:textId="639A5F25" w:rsidR="009C46FB" w:rsidRPr="00556C6D" w:rsidRDefault="009C46FB" w:rsidP="00150A9D">
            <w:pPr>
              <w:spacing w:after="120"/>
              <w:rPr>
                <w:rFonts w:ascii="Arial" w:hAnsi="Arial" w:cs="Arial"/>
                <w:b/>
                <w:bCs/>
                <w:sz w:val="16"/>
                <w:szCs w:val="16"/>
                <w:lang w:val="en-US"/>
              </w:rPr>
            </w:pPr>
            <w:r w:rsidRPr="009C46FB">
              <w:rPr>
                <w:rFonts w:ascii="Arial" w:hAnsi="Arial" w:cs="Arial"/>
                <w:b/>
                <w:bCs/>
                <w:sz w:val="16"/>
                <w:szCs w:val="16"/>
                <w:lang w:val="en-US"/>
              </w:rPr>
              <w:t>Skouries - Construction Project Capital</w:t>
            </w:r>
            <w:r w:rsidRPr="009C46FB">
              <w:rPr>
                <w:rFonts w:ascii="Arial" w:hAnsi="Arial" w:cs="Arial"/>
                <w:sz w:val="16"/>
                <w:szCs w:val="16"/>
                <w:vertAlign w:val="superscript"/>
                <w:lang w:val="en-US"/>
              </w:rPr>
              <w:t>(1)</w:t>
            </w:r>
            <w:r w:rsidRPr="009C46FB">
              <w:rPr>
                <w:rFonts w:ascii="Arial" w:hAnsi="Arial" w:cs="Arial"/>
                <w:sz w:val="16"/>
                <w:szCs w:val="16"/>
                <w:lang w:val="en-US"/>
              </w:rPr>
              <w:t xml:space="preserve"> </w:t>
            </w:r>
            <w:r w:rsidRPr="009C46FB">
              <w:rPr>
                <w:rFonts w:ascii="Arial" w:hAnsi="Arial" w:cs="Arial"/>
                <w:i/>
                <w:iCs/>
                <w:sz w:val="16"/>
                <w:szCs w:val="16"/>
                <w:lang w:val="en-US"/>
              </w:rPr>
              <w:t>($ millions)</w:t>
            </w:r>
          </w:p>
        </w:tc>
        <w:tc>
          <w:tcPr>
            <w:tcW w:w="1247" w:type="dxa"/>
            <w:shd w:val="clear" w:color="auto" w:fill="F2F2F2" w:themeFill="background1" w:themeFillShade="F2"/>
            <w:vAlign w:val="center"/>
          </w:tcPr>
          <w:p w14:paraId="3EC11BA5" w14:textId="77777777" w:rsidR="009C46FB" w:rsidRPr="00556C6D" w:rsidRDefault="009C46FB" w:rsidP="009C46FB">
            <w:pPr>
              <w:spacing w:after="120"/>
              <w:jc w:val="center"/>
              <w:rPr>
                <w:rFonts w:ascii="Arial" w:hAnsi="Arial" w:cs="Arial"/>
                <w:sz w:val="16"/>
                <w:szCs w:val="16"/>
                <w:lang w:val="en-US"/>
              </w:rPr>
            </w:pPr>
          </w:p>
        </w:tc>
        <w:tc>
          <w:tcPr>
            <w:tcW w:w="1247" w:type="dxa"/>
            <w:shd w:val="clear" w:color="auto" w:fill="F2F2F2" w:themeFill="background1" w:themeFillShade="F2"/>
            <w:vAlign w:val="center"/>
          </w:tcPr>
          <w:p w14:paraId="114E6E2C" w14:textId="77777777" w:rsidR="009C46FB" w:rsidRPr="00556C6D" w:rsidRDefault="009C46FB" w:rsidP="009C46FB">
            <w:pPr>
              <w:spacing w:after="120"/>
              <w:jc w:val="center"/>
              <w:rPr>
                <w:rFonts w:ascii="Arial" w:hAnsi="Arial" w:cs="Arial"/>
                <w:sz w:val="16"/>
                <w:szCs w:val="16"/>
                <w:lang w:val="en-US"/>
              </w:rPr>
            </w:pPr>
          </w:p>
        </w:tc>
        <w:tc>
          <w:tcPr>
            <w:tcW w:w="1333" w:type="dxa"/>
            <w:shd w:val="clear" w:color="auto" w:fill="F2F2F2" w:themeFill="background1" w:themeFillShade="F2"/>
            <w:vAlign w:val="center"/>
          </w:tcPr>
          <w:p w14:paraId="08E550AD" w14:textId="77777777" w:rsidR="009C46FB" w:rsidRPr="00556C6D" w:rsidRDefault="009C46FB" w:rsidP="009C46FB">
            <w:pPr>
              <w:spacing w:after="120"/>
              <w:jc w:val="center"/>
              <w:rPr>
                <w:rFonts w:ascii="Arial" w:hAnsi="Arial" w:cs="Arial"/>
                <w:sz w:val="16"/>
                <w:szCs w:val="16"/>
                <w:lang w:val="en-US"/>
              </w:rPr>
            </w:pPr>
          </w:p>
        </w:tc>
        <w:tc>
          <w:tcPr>
            <w:tcW w:w="1247" w:type="dxa"/>
            <w:shd w:val="clear" w:color="auto" w:fill="F2F2F2" w:themeFill="background1" w:themeFillShade="F2"/>
            <w:vAlign w:val="center"/>
          </w:tcPr>
          <w:p w14:paraId="6054A349" w14:textId="77777777" w:rsidR="009C46FB" w:rsidRPr="00556C6D" w:rsidRDefault="009C46FB" w:rsidP="009C46FB">
            <w:pPr>
              <w:spacing w:after="120"/>
              <w:jc w:val="center"/>
              <w:rPr>
                <w:rFonts w:ascii="Arial" w:hAnsi="Arial" w:cs="Arial"/>
                <w:sz w:val="16"/>
                <w:szCs w:val="16"/>
                <w:lang w:val="en-US"/>
              </w:rPr>
            </w:pPr>
          </w:p>
        </w:tc>
        <w:tc>
          <w:tcPr>
            <w:tcW w:w="1208" w:type="dxa"/>
            <w:shd w:val="clear" w:color="auto" w:fill="auto"/>
            <w:vAlign w:val="center"/>
          </w:tcPr>
          <w:p w14:paraId="2A090854" w14:textId="3AE20F65" w:rsidR="009C46FB" w:rsidRPr="006C72E6" w:rsidRDefault="009C46FB" w:rsidP="009C46FB">
            <w:pPr>
              <w:spacing w:after="120"/>
              <w:jc w:val="center"/>
              <w:rPr>
                <w:rFonts w:ascii="Arial" w:hAnsi="Arial" w:cs="Arial"/>
                <w:sz w:val="16"/>
                <w:szCs w:val="16"/>
              </w:rPr>
            </w:pPr>
            <w:r w:rsidRPr="00980F0F">
              <w:rPr>
                <w:rFonts w:ascii="Arial" w:hAnsi="Arial" w:cs="Arial"/>
                <w:sz w:val="16"/>
                <w:szCs w:val="16"/>
              </w:rPr>
              <w:t>400 – 450</w:t>
            </w:r>
          </w:p>
        </w:tc>
        <w:tc>
          <w:tcPr>
            <w:tcW w:w="1372" w:type="dxa"/>
            <w:shd w:val="clear" w:color="auto" w:fill="auto"/>
            <w:vAlign w:val="center"/>
          </w:tcPr>
          <w:p w14:paraId="37914C11" w14:textId="6D5B850B" w:rsidR="009C46FB" w:rsidRPr="006C72E6" w:rsidRDefault="009C46FB" w:rsidP="009C46FB">
            <w:pPr>
              <w:spacing w:after="120"/>
              <w:jc w:val="center"/>
              <w:rPr>
                <w:rFonts w:ascii="Arial" w:hAnsi="Arial" w:cs="Arial"/>
                <w:sz w:val="16"/>
                <w:szCs w:val="16"/>
              </w:rPr>
            </w:pPr>
            <w:r w:rsidRPr="00980F0F">
              <w:rPr>
                <w:rFonts w:ascii="Arial" w:hAnsi="Arial" w:cs="Arial"/>
                <w:sz w:val="16"/>
                <w:szCs w:val="16"/>
              </w:rPr>
              <w:t>400 - 450</w:t>
            </w:r>
          </w:p>
        </w:tc>
      </w:tr>
      <w:tr w:rsidR="009C46FB" w:rsidRPr="006C72E6" w14:paraId="7A365E18" w14:textId="77777777" w:rsidTr="00C97B74">
        <w:trPr>
          <w:trHeight w:hRule="exact" w:val="715"/>
        </w:trPr>
        <w:tc>
          <w:tcPr>
            <w:tcW w:w="2127" w:type="dxa"/>
            <w:vAlign w:val="center"/>
          </w:tcPr>
          <w:p w14:paraId="49396684" w14:textId="6A3662FE" w:rsidR="009C46FB" w:rsidRPr="00556C6D" w:rsidRDefault="009C46FB" w:rsidP="00150A9D">
            <w:pPr>
              <w:spacing w:after="120"/>
              <w:ind w:left="176"/>
              <w:rPr>
                <w:rFonts w:ascii="Arial" w:hAnsi="Arial" w:cs="Arial"/>
                <w:b/>
                <w:bCs/>
                <w:sz w:val="16"/>
                <w:szCs w:val="16"/>
                <w:lang w:val="en-US"/>
              </w:rPr>
            </w:pPr>
            <w:r w:rsidRPr="009C46FB">
              <w:rPr>
                <w:rFonts w:ascii="Arial" w:hAnsi="Arial" w:cs="Arial"/>
                <w:b/>
                <w:bCs/>
                <w:sz w:val="16"/>
                <w:szCs w:val="16"/>
                <w:lang w:val="en-US"/>
              </w:rPr>
              <w:t>Skouries -  Accelerated                          Operational Capital</w:t>
            </w:r>
            <w:r w:rsidRPr="009C46FB">
              <w:rPr>
                <w:rFonts w:ascii="Arial" w:hAnsi="Arial" w:cs="Arial"/>
                <w:sz w:val="16"/>
                <w:szCs w:val="16"/>
                <w:vertAlign w:val="superscript"/>
                <w:lang w:val="en-US"/>
              </w:rPr>
              <w:t>(1)</w:t>
            </w:r>
            <w:r w:rsidRPr="009C46FB">
              <w:rPr>
                <w:rFonts w:ascii="Arial" w:hAnsi="Arial" w:cs="Arial"/>
                <w:b/>
                <w:bCs/>
                <w:sz w:val="16"/>
                <w:szCs w:val="16"/>
                <w:lang w:val="en-US"/>
              </w:rPr>
              <w:t xml:space="preserve">     </w:t>
            </w:r>
            <w:r w:rsidRPr="009C46FB">
              <w:rPr>
                <w:rFonts w:ascii="Arial" w:hAnsi="Arial" w:cs="Arial"/>
                <w:i/>
                <w:iCs/>
                <w:sz w:val="16"/>
                <w:szCs w:val="16"/>
                <w:lang w:val="en-US"/>
              </w:rPr>
              <w:t>($ millions)</w:t>
            </w:r>
          </w:p>
        </w:tc>
        <w:tc>
          <w:tcPr>
            <w:tcW w:w="1247" w:type="dxa"/>
            <w:vAlign w:val="center"/>
          </w:tcPr>
          <w:p w14:paraId="3A1EA202" w14:textId="7DC075EC" w:rsidR="009C46FB" w:rsidRPr="00AB6D7B" w:rsidRDefault="009C46FB" w:rsidP="009C46FB">
            <w:pPr>
              <w:spacing w:after="120"/>
              <w:jc w:val="center"/>
              <w:rPr>
                <w:rFonts w:ascii="Arial" w:hAnsi="Arial" w:cs="Arial"/>
                <w:sz w:val="16"/>
                <w:szCs w:val="16"/>
                <w:lang w:val="en-US"/>
              </w:rPr>
            </w:pPr>
          </w:p>
        </w:tc>
        <w:tc>
          <w:tcPr>
            <w:tcW w:w="1247" w:type="dxa"/>
            <w:vAlign w:val="center"/>
          </w:tcPr>
          <w:p w14:paraId="4439E837" w14:textId="5B78EAA0" w:rsidR="009C46FB" w:rsidRPr="00AB6D7B" w:rsidRDefault="009C46FB" w:rsidP="009C46FB">
            <w:pPr>
              <w:spacing w:after="120"/>
              <w:jc w:val="center"/>
              <w:rPr>
                <w:rFonts w:ascii="Arial" w:hAnsi="Arial" w:cs="Arial"/>
                <w:sz w:val="16"/>
                <w:szCs w:val="16"/>
                <w:lang w:val="en-US"/>
              </w:rPr>
            </w:pPr>
          </w:p>
        </w:tc>
        <w:tc>
          <w:tcPr>
            <w:tcW w:w="1333" w:type="dxa"/>
            <w:vAlign w:val="center"/>
          </w:tcPr>
          <w:p w14:paraId="7C8E5660" w14:textId="48CDDAC2" w:rsidR="009C46FB" w:rsidRPr="00AB6D7B" w:rsidRDefault="009C46FB" w:rsidP="009C46FB">
            <w:pPr>
              <w:spacing w:after="120"/>
              <w:jc w:val="center"/>
              <w:rPr>
                <w:rFonts w:ascii="Arial" w:hAnsi="Arial" w:cs="Arial"/>
                <w:sz w:val="16"/>
                <w:szCs w:val="16"/>
                <w:lang w:val="en-US"/>
              </w:rPr>
            </w:pPr>
          </w:p>
        </w:tc>
        <w:tc>
          <w:tcPr>
            <w:tcW w:w="1247" w:type="dxa"/>
            <w:shd w:val="clear" w:color="auto" w:fill="auto"/>
            <w:vAlign w:val="center"/>
          </w:tcPr>
          <w:p w14:paraId="7B949D41" w14:textId="1C4E2E21" w:rsidR="009C46FB" w:rsidRPr="00AB6D7B" w:rsidRDefault="009C46FB" w:rsidP="009C46FB">
            <w:pPr>
              <w:spacing w:after="120"/>
              <w:jc w:val="center"/>
              <w:rPr>
                <w:rFonts w:ascii="Arial" w:hAnsi="Arial" w:cs="Arial"/>
                <w:sz w:val="16"/>
                <w:szCs w:val="16"/>
                <w:lang w:val="en-US"/>
              </w:rPr>
            </w:pPr>
          </w:p>
        </w:tc>
        <w:tc>
          <w:tcPr>
            <w:tcW w:w="1208" w:type="dxa"/>
            <w:shd w:val="clear" w:color="auto" w:fill="auto"/>
            <w:vAlign w:val="center"/>
          </w:tcPr>
          <w:p w14:paraId="0F61B489" w14:textId="18E776ED" w:rsidR="009C46FB" w:rsidRPr="006C72E6" w:rsidRDefault="009C46FB" w:rsidP="009C46FB">
            <w:pPr>
              <w:spacing w:after="120"/>
              <w:jc w:val="center"/>
              <w:rPr>
                <w:rFonts w:ascii="Arial" w:hAnsi="Arial" w:cs="Arial"/>
                <w:sz w:val="16"/>
                <w:szCs w:val="16"/>
              </w:rPr>
            </w:pPr>
            <w:r w:rsidRPr="00980F0F">
              <w:rPr>
                <w:rFonts w:ascii="Arial" w:hAnsi="Arial" w:cs="Arial"/>
                <w:sz w:val="16"/>
                <w:szCs w:val="16"/>
              </w:rPr>
              <w:t>80 – 100</w:t>
            </w:r>
          </w:p>
        </w:tc>
        <w:tc>
          <w:tcPr>
            <w:tcW w:w="1372" w:type="dxa"/>
            <w:shd w:val="clear" w:color="auto" w:fill="auto"/>
            <w:vAlign w:val="center"/>
          </w:tcPr>
          <w:p w14:paraId="3257B13B" w14:textId="4380A980" w:rsidR="009C46FB" w:rsidRPr="006C72E6" w:rsidRDefault="009C46FB" w:rsidP="009C46FB">
            <w:pPr>
              <w:spacing w:after="120"/>
              <w:jc w:val="center"/>
              <w:rPr>
                <w:rFonts w:ascii="Arial" w:hAnsi="Arial" w:cs="Arial"/>
                <w:sz w:val="16"/>
                <w:szCs w:val="16"/>
              </w:rPr>
            </w:pPr>
            <w:r w:rsidRPr="00980F0F">
              <w:rPr>
                <w:rFonts w:ascii="Arial" w:hAnsi="Arial" w:cs="Arial"/>
                <w:sz w:val="16"/>
                <w:szCs w:val="16"/>
              </w:rPr>
              <w:t>80 - 100</w:t>
            </w:r>
          </w:p>
        </w:tc>
      </w:tr>
      <w:tr w:rsidR="00DF65D4" w14:paraId="60C5AB9D" w14:textId="77777777" w:rsidTr="00CF3EAF">
        <w:trPr>
          <w:trHeight w:hRule="exact" w:val="397"/>
        </w:trPr>
        <w:tc>
          <w:tcPr>
            <w:tcW w:w="2127" w:type="dxa"/>
            <w:vAlign w:val="center"/>
          </w:tcPr>
          <w:p w14:paraId="082C384E" w14:textId="77777777" w:rsidR="00DF65D4" w:rsidRPr="005F65F1" w:rsidRDefault="00DF65D4" w:rsidP="00DF65D4">
            <w:pPr>
              <w:spacing w:after="120"/>
              <w:rPr>
                <w:rFonts w:ascii="Arial" w:hAnsi="Arial" w:cs="Arial"/>
                <w:b/>
                <w:bCs/>
                <w:sz w:val="16"/>
                <w:szCs w:val="16"/>
                <w:lang w:val="en-US"/>
              </w:rPr>
            </w:pPr>
            <w:r w:rsidRPr="005F65F1">
              <w:rPr>
                <w:rFonts w:ascii="Arial" w:hAnsi="Arial" w:cs="Arial"/>
                <w:b/>
                <w:bCs/>
                <w:sz w:val="16"/>
                <w:szCs w:val="16"/>
                <w:lang w:val="en-US"/>
              </w:rPr>
              <w:t>Sustaining and Growth Capital</w:t>
            </w:r>
            <w:r w:rsidRPr="005F65F1">
              <w:rPr>
                <w:rFonts w:ascii="Arial" w:hAnsi="Arial" w:cs="Arial"/>
                <w:sz w:val="16"/>
                <w:szCs w:val="16"/>
                <w:vertAlign w:val="superscript"/>
                <w:lang w:val="en-US"/>
              </w:rPr>
              <w:t xml:space="preserve">(1,2) </w:t>
            </w:r>
            <w:r w:rsidRPr="005F65F1">
              <w:rPr>
                <w:rFonts w:ascii="Arial" w:hAnsi="Arial" w:cs="Arial"/>
                <w:sz w:val="16"/>
                <w:szCs w:val="16"/>
                <w:lang w:val="en-US"/>
              </w:rPr>
              <w:t xml:space="preserve"> </w:t>
            </w:r>
            <w:r w:rsidRPr="005F65F1">
              <w:rPr>
                <w:rFonts w:ascii="Arial" w:hAnsi="Arial" w:cs="Arial"/>
                <w:i/>
                <w:iCs/>
                <w:sz w:val="16"/>
                <w:szCs w:val="16"/>
                <w:lang w:val="en-US"/>
              </w:rPr>
              <w:t>($ millions)</w:t>
            </w:r>
          </w:p>
        </w:tc>
        <w:tc>
          <w:tcPr>
            <w:tcW w:w="1247" w:type="dxa"/>
            <w:vAlign w:val="center"/>
          </w:tcPr>
          <w:p w14:paraId="2378B811" w14:textId="77777777" w:rsidR="00DF65D4" w:rsidRPr="00EA00A0" w:rsidRDefault="00DF65D4" w:rsidP="00DF65D4">
            <w:pPr>
              <w:spacing w:after="120"/>
              <w:jc w:val="center"/>
              <w:rPr>
                <w:rFonts w:ascii="Arial" w:hAnsi="Arial" w:cs="Arial"/>
                <w:sz w:val="16"/>
                <w:szCs w:val="16"/>
              </w:rPr>
            </w:pPr>
            <w:r w:rsidRPr="00EA00A0">
              <w:rPr>
                <w:rFonts w:ascii="Arial" w:hAnsi="Arial" w:cs="Arial"/>
                <w:sz w:val="16"/>
                <w:szCs w:val="16"/>
              </w:rPr>
              <w:t>15</w:t>
            </w:r>
            <w:r>
              <w:rPr>
                <w:rFonts w:ascii="Arial" w:hAnsi="Arial" w:cs="Arial"/>
                <w:sz w:val="16"/>
                <w:szCs w:val="16"/>
              </w:rPr>
              <w:t>5</w:t>
            </w:r>
            <w:r w:rsidRPr="00EA00A0">
              <w:rPr>
                <w:rFonts w:ascii="Arial" w:hAnsi="Arial" w:cs="Arial"/>
                <w:sz w:val="16"/>
                <w:szCs w:val="16"/>
              </w:rPr>
              <w:t xml:space="preserve"> – 1</w:t>
            </w:r>
            <w:r>
              <w:rPr>
                <w:rFonts w:ascii="Arial" w:hAnsi="Arial" w:cs="Arial"/>
                <w:sz w:val="16"/>
                <w:szCs w:val="16"/>
              </w:rPr>
              <w:t>70</w:t>
            </w:r>
          </w:p>
        </w:tc>
        <w:tc>
          <w:tcPr>
            <w:tcW w:w="1247" w:type="dxa"/>
            <w:vAlign w:val="center"/>
          </w:tcPr>
          <w:p w14:paraId="693A32B3" w14:textId="29E1BFBE" w:rsidR="00DF65D4" w:rsidRPr="00EA00A0" w:rsidRDefault="00DF65D4" w:rsidP="00DF65D4">
            <w:pPr>
              <w:spacing w:after="120"/>
              <w:jc w:val="center"/>
              <w:rPr>
                <w:rFonts w:ascii="Arial" w:hAnsi="Arial" w:cs="Arial"/>
                <w:sz w:val="16"/>
                <w:szCs w:val="16"/>
              </w:rPr>
            </w:pPr>
            <w:r>
              <w:rPr>
                <w:rFonts w:ascii="Arial" w:hAnsi="Arial" w:cs="Arial"/>
                <w:sz w:val="16"/>
                <w:szCs w:val="16"/>
              </w:rPr>
              <w:t>140</w:t>
            </w:r>
            <w:r w:rsidRPr="00EA00A0">
              <w:rPr>
                <w:rFonts w:ascii="Arial" w:hAnsi="Arial" w:cs="Arial"/>
                <w:sz w:val="16"/>
                <w:szCs w:val="16"/>
              </w:rPr>
              <w:t xml:space="preserve"> – </w:t>
            </w:r>
            <w:r>
              <w:rPr>
                <w:rFonts w:ascii="Arial" w:hAnsi="Arial" w:cs="Arial"/>
                <w:sz w:val="16"/>
                <w:szCs w:val="16"/>
              </w:rPr>
              <w:t>155</w:t>
            </w:r>
          </w:p>
        </w:tc>
        <w:tc>
          <w:tcPr>
            <w:tcW w:w="1333" w:type="dxa"/>
            <w:vAlign w:val="center"/>
          </w:tcPr>
          <w:p w14:paraId="78B7E4A6" w14:textId="26F677DD" w:rsidR="00DF65D4" w:rsidRPr="00EA00A0" w:rsidRDefault="00DF65D4" w:rsidP="00DF65D4">
            <w:pPr>
              <w:spacing w:after="120"/>
              <w:jc w:val="center"/>
              <w:rPr>
                <w:rFonts w:ascii="Arial" w:hAnsi="Arial" w:cs="Arial"/>
                <w:sz w:val="16"/>
                <w:szCs w:val="16"/>
              </w:rPr>
            </w:pPr>
            <w:r w:rsidRPr="00EA00A0">
              <w:rPr>
                <w:rFonts w:ascii="Arial" w:hAnsi="Arial" w:cs="Arial"/>
                <w:sz w:val="16"/>
                <w:szCs w:val="16"/>
              </w:rPr>
              <w:t>30 – 40</w:t>
            </w:r>
          </w:p>
        </w:tc>
        <w:tc>
          <w:tcPr>
            <w:tcW w:w="1247" w:type="dxa"/>
            <w:shd w:val="clear" w:color="auto" w:fill="auto"/>
            <w:vAlign w:val="center"/>
          </w:tcPr>
          <w:p w14:paraId="41CBBC86" w14:textId="4657A5C3" w:rsidR="00DF65D4" w:rsidRPr="00EA00A0" w:rsidRDefault="00DF65D4" w:rsidP="00DF65D4">
            <w:pPr>
              <w:spacing w:after="120"/>
              <w:jc w:val="center"/>
              <w:rPr>
                <w:rFonts w:ascii="Arial" w:hAnsi="Arial" w:cs="Arial"/>
                <w:sz w:val="16"/>
                <w:szCs w:val="16"/>
              </w:rPr>
            </w:pPr>
            <w:r>
              <w:rPr>
                <w:rFonts w:ascii="Arial" w:hAnsi="Arial" w:cs="Arial"/>
                <w:sz w:val="16"/>
                <w:szCs w:val="16"/>
              </w:rPr>
              <w:t>65</w:t>
            </w:r>
            <w:r w:rsidRPr="00EA00A0">
              <w:rPr>
                <w:rFonts w:ascii="Arial" w:hAnsi="Arial" w:cs="Arial"/>
                <w:sz w:val="16"/>
                <w:szCs w:val="16"/>
              </w:rPr>
              <w:t xml:space="preserve"> – </w:t>
            </w:r>
            <w:r>
              <w:rPr>
                <w:rFonts w:ascii="Arial" w:hAnsi="Arial" w:cs="Arial"/>
                <w:sz w:val="16"/>
                <w:szCs w:val="16"/>
              </w:rPr>
              <w:t>75</w:t>
            </w:r>
          </w:p>
        </w:tc>
        <w:tc>
          <w:tcPr>
            <w:tcW w:w="1208" w:type="dxa"/>
            <w:shd w:val="clear" w:color="auto" w:fill="auto"/>
            <w:vAlign w:val="center"/>
          </w:tcPr>
          <w:p w14:paraId="400C4336" w14:textId="39F37DAD" w:rsidR="00DF65D4" w:rsidRPr="00980F0F" w:rsidRDefault="00DF65D4" w:rsidP="00DF65D4">
            <w:pPr>
              <w:spacing w:after="120"/>
              <w:jc w:val="center"/>
              <w:rPr>
                <w:rFonts w:ascii="Arial" w:hAnsi="Arial" w:cs="Arial"/>
                <w:sz w:val="16"/>
                <w:szCs w:val="16"/>
              </w:rPr>
            </w:pPr>
            <w:r w:rsidRPr="00980F0F">
              <w:rPr>
                <w:rFonts w:ascii="Arial" w:hAnsi="Arial" w:cs="Arial"/>
                <w:sz w:val="16"/>
                <w:szCs w:val="16"/>
              </w:rPr>
              <w:t>480 - 550</w:t>
            </w:r>
          </w:p>
        </w:tc>
        <w:tc>
          <w:tcPr>
            <w:tcW w:w="1372" w:type="dxa"/>
            <w:shd w:val="clear" w:color="auto" w:fill="auto"/>
            <w:vAlign w:val="center"/>
          </w:tcPr>
          <w:p w14:paraId="317B42FD" w14:textId="4D291815" w:rsidR="00DF65D4" w:rsidRPr="00980F0F" w:rsidRDefault="00DF65D4" w:rsidP="00DF65D4">
            <w:pPr>
              <w:spacing w:after="120"/>
              <w:jc w:val="center"/>
              <w:rPr>
                <w:rFonts w:ascii="Arial" w:hAnsi="Arial" w:cs="Arial"/>
                <w:sz w:val="16"/>
                <w:szCs w:val="16"/>
              </w:rPr>
            </w:pPr>
            <w:r w:rsidRPr="00980F0F">
              <w:rPr>
                <w:rFonts w:ascii="Arial" w:hAnsi="Arial" w:cs="Arial"/>
                <w:sz w:val="16"/>
                <w:szCs w:val="16"/>
              </w:rPr>
              <w:t>725 - 820</w:t>
            </w:r>
          </w:p>
        </w:tc>
      </w:tr>
      <w:tr w:rsidR="00D80D12" w:rsidRPr="006C72E6" w14:paraId="3729A7F8" w14:textId="77777777" w:rsidTr="0038431A">
        <w:trPr>
          <w:trHeight w:hRule="exact" w:val="57"/>
        </w:trPr>
        <w:tc>
          <w:tcPr>
            <w:tcW w:w="2127" w:type="dxa"/>
            <w:tcBorders>
              <w:left w:val="nil"/>
              <w:bottom w:val="nil"/>
              <w:right w:val="nil"/>
            </w:tcBorders>
            <w:vAlign w:val="center"/>
          </w:tcPr>
          <w:p w14:paraId="12C4C07F" w14:textId="77777777" w:rsidR="0038431A" w:rsidRPr="006C72E6" w:rsidRDefault="0038431A" w:rsidP="00B622FF">
            <w:pPr>
              <w:spacing w:after="120"/>
              <w:rPr>
                <w:rFonts w:ascii="Arial" w:hAnsi="Arial" w:cs="Arial"/>
                <w:sz w:val="16"/>
                <w:szCs w:val="16"/>
              </w:rPr>
            </w:pPr>
          </w:p>
        </w:tc>
        <w:tc>
          <w:tcPr>
            <w:tcW w:w="1247" w:type="dxa"/>
            <w:tcBorders>
              <w:top w:val="single" w:sz="4" w:space="0" w:color="auto"/>
              <w:left w:val="nil"/>
              <w:bottom w:val="nil"/>
              <w:right w:val="nil"/>
            </w:tcBorders>
            <w:shd w:val="clear" w:color="auto" w:fill="auto"/>
            <w:vAlign w:val="center"/>
          </w:tcPr>
          <w:p w14:paraId="211992B1" w14:textId="77777777" w:rsidR="0038431A" w:rsidRPr="006C72E6" w:rsidRDefault="0038431A" w:rsidP="00B622FF">
            <w:pPr>
              <w:spacing w:after="120"/>
              <w:rPr>
                <w:rFonts w:ascii="Arial" w:hAnsi="Arial" w:cs="Arial"/>
                <w:sz w:val="16"/>
                <w:szCs w:val="16"/>
              </w:rPr>
            </w:pPr>
          </w:p>
        </w:tc>
        <w:tc>
          <w:tcPr>
            <w:tcW w:w="1247" w:type="dxa"/>
            <w:tcBorders>
              <w:top w:val="single" w:sz="4" w:space="0" w:color="auto"/>
              <w:left w:val="nil"/>
              <w:bottom w:val="nil"/>
              <w:right w:val="nil"/>
            </w:tcBorders>
            <w:shd w:val="clear" w:color="auto" w:fill="auto"/>
            <w:vAlign w:val="center"/>
          </w:tcPr>
          <w:p w14:paraId="6D1D5FDF" w14:textId="77777777" w:rsidR="0038431A" w:rsidRPr="006C72E6" w:rsidRDefault="0038431A" w:rsidP="00B622FF">
            <w:pPr>
              <w:spacing w:after="120"/>
              <w:rPr>
                <w:rFonts w:ascii="Arial" w:hAnsi="Arial" w:cs="Arial"/>
                <w:sz w:val="16"/>
                <w:szCs w:val="16"/>
              </w:rPr>
            </w:pPr>
          </w:p>
        </w:tc>
        <w:tc>
          <w:tcPr>
            <w:tcW w:w="1333" w:type="dxa"/>
            <w:tcBorders>
              <w:top w:val="single" w:sz="4" w:space="0" w:color="auto"/>
              <w:left w:val="nil"/>
              <w:bottom w:val="nil"/>
              <w:right w:val="nil"/>
            </w:tcBorders>
            <w:shd w:val="clear" w:color="auto" w:fill="auto"/>
            <w:vAlign w:val="center"/>
          </w:tcPr>
          <w:p w14:paraId="1AF3EA78" w14:textId="77777777" w:rsidR="0038431A" w:rsidRPr="006C72E6" w:rsidRDefault="0038431A" w:rsidP="00B622FF">
            <w:pPr>
              <w:spacing w:after="120"/>
              <w:rPr>
                <w:rFonts w:ascii="Arial" w:hAnsi="Arial" w:cs="Arial"/>
                <w:sz w:val="16"/>
                <w:szCs w:val="16"/>
              </w:rPr>
            </w:pPr>
          </w:p>
        </w:tc>
        <w:tc>
          <w:tcPr>
            <w:tcW w:w="1247" w:type="dxa"/>
            <w:tcBorders>
              <w:top w:val="single" w:sz="4" w:space="0" w:color="auto"/>
              <w:left w:val="nil"/>
              <w:bottom w:val="nil"/>
              <w:right w:val="nil"/>
            </w:tcBorders>
            <w:shd w:val="clear" w:color="auto" w:fill="auto"/>
            <w:vAlign w:val="center"/>
          </w:tcPr>
          <w:p w14:paraId="1A76CC32" w14:textId="77777777" w:rsidR="0038431A" w:rsidRPr="006C72E6" w:rsidRDefault="0038431A" w:rsidP="00B622FF">
            <w:pPr>
              <w:spacing w:after="120"/>
              <w:rPr>
                <w:rFonts w:ascii="Arial" w:hAnsi="Arial" w:cs="Arial"/>
                <w:sz w:val="16"/>
                <w:szCs w:val="16"/>
              </w:rPr>
            </w:pPr>
          </w:p>
        </w:tc>
        <w:tc>
          <w:tcPr>
            <w:tcW w:w="1208" w:type="dxa"/>
            <w:tcBorders>
              <w:top w:val="single" w:sz="4" w:space="0" w:color="auto"/>
              <w:left w:val="nil"/>
              <w:bottom w:val="nil"/>
              <w:right w:val="nil"/>
            </w:tcBorders>
            <w:shd w:val="clear" w:color="auto" w:fill="auto"/>
            <w:vAlign w:val="center"/>
          </w:tcPr>
          <w:p w14:paraId="5A846265" w14:textId="77777777" w:rsidR="0038431A" w:rsidRPr="006C72E6" w:rsidRDefault="0038431A" w:rsidP="00B622FF">
            <w:pPr>
              <w:spacing w:after="120"/>
              <w:rPr>
                <w:rFonts w:ascii="Arial" w:hAnsi="Arial" w:cs="Arial"/>
                <w:sz w:val="16"/>
                <w:szCs w:val="16"/>
              </w:rPr>
            </w:pPr>
          </w:p>
        </w:tc>
        <w:tc>
          <w:tcPr>
            <w:tcW w:w="1372" w:type="dxa"/>
            <w:tcBorders>
              <w:left w:val="nil"/>
              <w:bottom w:val="nil"/>
              <w:right w:val="nil"/>
            </w:tcBorders>
            <w:vAlign w:val="center"/>
          </w:tcPr>
          <w:p w14:paraId="23BF9A6E" w14:textId="77777777" w:rsidR="0038431A" w:rsidRPr="006C72E6" w:rsidRDefault="0038431A" w:rsidP="00B622FF">
            <w:pPr>
              <w:spacing w:after="120"/>
              <w:jc w:val="center"/>
              <w:rPr>
                <w:rFonts w:ascii="Arial" w:hAnsi="Arial" w:cs="Arial"/>
                <w:sz w:val="16"/>
                <w:szCs w:val="16"/>
              </w:rPr>
            </w:pPr>
          </w:p>
        </w:tc>
      </w:tr>
    </w:tbl>
    <w:p w14:paraId="3F73889A" w14:textId="454AE0A2" w:rsidR="00273CE2" w:rsidRPr="006C72E6" w:rsidRDefault="00273CE2" w:rsidP="00273CE2">
      <w:pPr>
        <w:pStyle w:val="ListParagraph"/>
        <w:numPr>
          <w:ilvl w:val="0"/>
          <w:numId w:val="18"/>
        </w:numPr>
        <w:ind w:left="360"/>
        <w:contextualSpacing w:val="0"/>
        <w:jc w:val="both"/>
        <w:rPr>
          <w:rFonts w:ascii="Arial" w:hAnsi="Arial" w:cs="Arial"/>
          <w:sz w:val="16"/>
          <w:szCs w:val="16"/>
        </w:rPr>
      </w:pPr>
      <w:bookmarkStart w:id="3" w:name="_Hlk158279435"/>
      <w:bookmarkEnd w:id="2"/>
      <w:r w:rsidRPr="006C72E6">
        <w:rPr>
          <w:rFonts w:ascii="Arial" w:hAnsi="Arial" w:cs="Arial"/>
          <w:sz w:val="16"/>
          <w:szCs w:val="16"/>
        </w:rPr>
        <w:t>Αυτά τα χρηματοοικονομικά μέτρα είναι χρηματοοικονομικά μέτρα εκτός ΔΠΧΑ. Ορισμένες πρόσθετες γνωστοποιήσεις για χρηματοοικονομικά μεγέθη και δείκτες εκτός ΔΠΧΑ έχουν ενσωματωθεί μέσω παραπομπής και πρόσθετες λεπτομέρειες διατίθενται στο τέλος του παρόντος δελτίου τύπου στην ενότητα με τίτλο «</w:t>
      </w:r>
      <w:r w:rsidRPr="006C72E6">
        <w:rPr>
          <w:rFonts w:ascii="Arial" w:eastAsia="Arial" w:hAnsi="Arial" w:cs="Arial"/>
          <w:color w:val="000000"/>
          <w:sz w:val="16"/>
          <w:szCs w:val="16"/>
        </w:rPr>
        <w:t>Μη ΔΠΧΑ και άλλα χρηματοοικονομικά μέτρα και δείκτες».</w:t>
      </w:r>
    </w:p>
    <w:p w14:paraId="1484C94E" w14:textId="7C25B8CB" w:rsidR="00273CE2" w:rsidRPr="006C72E6" w:rsidRDefault="00273CE2" w:rsidP="00273CE2">
      <w:pPr>
        <w:pStyle w:val="ListParagraph"/>
        <w:numPr>
          <w:ilvl w:val="0"/>
          <w:numId w:val="18"/>
        </w:numPr>
        <w:ind w:left="360"/>
        <w:contextualSpacing w:val="0"/>
        <w:jc w:val="both"/>
        <w:rPr>
          <w:rFonts w:ascii="Arial" w:hAnsi="Arial" w:cs="Arial"/>
          <w:sz w:val="16"/>
          <w:szCs w:val="16"/>
        </w:rPr>
      </w:pPr>
      <w:r w:rsidRPr="006C72E6">
        <w:rPr>
          <w:rFonts w:ascii="Arial" w:hAnsi="Arial" w:cs="Arial"/>
          <w:sz w:val="16"/>
          <w:szCs w:val="16"/>
        </w:rPr>
        <w:t xml:space="preserve">Περιλαμβάνει κεφαλαιοποιημένη </w:t>
      </w:r>
      <w:r w:rsidR="00556C6D">
        <w:rPr>
          <w:rFonts w:ascii="Arial" w:hAnsi="Arial" w:cs="Arial"/>
          <w:sz w:val="16"/>
          <w:szCs w:val="16"/>
        </w:rPr>
        <w:t>έρευνα</w:t>
      </w:r>
      <w:r w:rsidRPr="006C72E6">
        <w:rPr>
          <w:rFonts w:ascii="Arial" w:hAnsi="Arial" w:cs="Arial"/>
          <w:sz w:val="16"/>
          <w:szCs w:val="16"/>
        </w:rPr>
        <w:t xml:space="preserve"> στο συγκρότημα Lamaque και στο Efemcukuru. </w:t>
      </w:r>
    </w:p>
    <w:bookmarkEnd w:id="3"/>
    <w:p w14:paraId="188F5A6C" w14:textId="77777777" w:rsidR="006B0E05" w:rsidRPr="006C72E6" w:rsidRDefault="006B0E05" w:rsidP="00273CE2">
      <w:pPr>
        <w:pStyle w:val="ListParagraph"/>
        <w:numPr>
          <w:ilvl w:val="0"/>
          <w:numId w:val="18"/>
        </w:numPr>
        <w:ind w:left="360"/>
        <w:contextualSpacing w:val="0"/>
        <w:jc w:val="both"/>
        <w:rPr>
          <w:rFonts w:ascii="Arial" w:hAnsi="Arial" w:cs="Arial"/>
          <w:sz w:val="16"/>
          <w:szCs w:val="16"/>
        </w:rPr>
      </w:pPr>
      <w:r w:rsidRPr="006C72E6">
        <w:rPr>
          <w:rFonts w:ascii="Arial" w:hAnsi="Arial" w:cs="Arial"/>
          <w:sz w:val="16"/>
          <w:szCs w:val="16"/>
        </w:rPr>
        <w:t>Πληρωτέο μέταλλο που παράγεται.</w:t>
      </w:r>
    </w:p>
    <w:p w14:paraId="4E8CAB1D" w14:textId="7F73F616" w:rsidR="006B0E05" w:rsidRPr="006C72E6" w:rsidRDefault="006B0E05" w:rsidP="00273CE2">
      <w:pPr>
        <w:pStyle w:val="ListParagraph"/>
        <w:numPr>
          <w:ilvl w:val="0"/>
          <w:numId w:val="18"/>
        </w:numPr>
        <w:ind w:left="360"/>
        <w:contextualSpacing w:val="0"/>
        <w:jc w:val="both"/>
        <w:rPr>
          <w:rFonts w:ascii="Arial" w:hAnsi="Arial" w:cs="Arial"/>
          <w:sz w:val="16"/>
          <w:szCs w:val="16"/>
        </w:rPr>
      </w:pPr>
      <w:r w:rsidRPr="006C72E6">
        <w:rPr>
          <w:rFonts w:ascii="Arial" w:hAnsi="Arial" w:cs="Arial"/>
          <w:sz w:val="16"/>
          <w:szCs w:val="16"/>
        </w:rPr>
        <w:t xml:space="preserve">Ποιότητες </w:t>
      </w:r>
      <w:r w:rsidR="0020231A">
        <w:rPr>
          <w:rFonts w:ascii="Arial" w:hAnsi="Arial" w:cs="Arial"/>
          <w:sz w:val="16"/>
          <w:szCs w:val="16"/>
        </w:rPr>
        <w:t>παρα</w:t>
      </w:r>
      <w:r w:rsidRPr="006C72E6">
        <w:rPr>
          <w:rFonts w:ascii="Arial" w:hAnsi="Arial" w:cs="Arial"/>
          <w:sz w:val="16"/>
          <w:szCs w:val="16"/>
        </w:rPr>
        <w:t xml:space="preserve">προϊόντων Ολυμπιάδας: Ασήμι: 90 </w:t>
      </w:r>
      <w:r w:rsidR="001A7BA0" w:rsidRPr="006C72E6">
        <w:rPr>
          <w:rFonts w:ascii="Arial" w:hAnsi="Arial" w:cs="Arial"/>
          <w:sz w:val="16"/>
          <w:szCs w:val="16"/>
        </w:rPr>
        <w:t>–</w:t>
      </w:r>
      <w:r w:rsidRPr="006C72E6">
        <w:rPr>
          <w:rFonts w:ascii="Arial" w:hAnsi="Arial" w:cs="Arial"/>
          <w:sz w:val="16"/>
          <w:szCs w:val="16"/>
        </w:rPr>
        <w:t xml:space="preserve"> 120 g/t· Ψευδάργυρος: 4,0 – 4,5%; Μόλυβδος: 3,5 – 4,0%.</w:t>
      </w:r>
    </w:p>
    <w:p w14:paraId="058D5520" w14:textId="77777777" w:rsidR="006B0E05" w:rsidRPr="006C72E6" w:rsidRDefault="006B0E05" w:rsidP="00273CE2">
      <w:pPr>
        <w:pStyle w:val="ListParagraph"/>
        <w:numPr>
          <w:ilvl w:val="0"/>
          <w:numId w:val="18"/>
        </w:numPr>
        <w:ind w:left="360"/>
        <w:contextualSpacing w:val="0"/>
        <w:jc w:val="both"/>
        <w:rPr>
          <w:rFonts w:ascii="Arial" w:hAnsi="Arial" w:cs="Arial"/>
          <w:sz w:val="16"/>
          <w:szCs w:val="16"/>
        </w:rPr>
      </w:pPr>
      <w:r w:rsidRPr="006C72E6">
        <w:rPr>
          <w:rFonts w:ascii="Arial" w:hAnsi="Arial" w:cs="Arial"/>
          <w:sz w:val="16"/>
          <w:szCs w:val="16"/>
        </w:rPr>
        <w:t>Τα σύνολα δεν μπορούν να προστεθούν με βάση τον μέσο όρο του κόστους.</w:t>
      </w:r>
    </w:p>
    <w:p w14:paraId="1A075B15" w14:textId="77777777" w:rsidR="006B0E05" w:rsidRPr="006C72E6" w:rsidRDefault="006B0E05" w:rsidP="006B0E05">
      <w:pPr>
        <w:pStyle w:val="ListParagraph"/>
        <w:jc w:val="both"/>
        <w:rPr>
          <w:rFonts w:ascii="Arial" w:hAnsi="Arial" w:cs="Arial"/>
          <w:sz w:val="16"/>
          <w:szCs w:val="16"/>
        </w:rPr>
      </w:pPr>
    </w:p>
    <w:p w14:paraId="54A4AF74" w14:textId="77777777" w:rsidR="00256C28" w:rsidRDefault="006B0E05" w:rsidP="006B0E05">
      <w:pPr>
        <w:jc w:val="both"/>
        <w:rPr>
          <w:rFonts w:ascii="Arial" w:hAnsi="Arial" w:cs="Arial"/>
          <w:sz w:val="20"/>
          <w:szCs w:val="20"/>
        </w:rPr>
      </w:pPr>
      <w:r w:rsidRPr="006C72E6">
        <w:rPr>
          <w:rFonts w:ascii="Arial" w:hAnsi="Arial" w:cs="Arial"/>
          <w:sz w:val="20"/>
          <w:szCs w:val="20"/>
        </w:rPr>
        <w:t xml:space="preserve">Η παραγωγή χρυσού το 2025 αναμένεται να κυμανθεί μεταξύ 460.000 και 500.000 ουγγιών, γεγονός που αντικατοπτρίζει </w:t>
      </w:r>
      <w:r w:rsidR="00256C28">
        <w:rPr>
          <w:rFonts w:ascii="Arial" w:hAnsi="Arial" w:cs="Arial"/>
          <w:sz w:val="20"/>
          <w:szCs w:val="20"/>
        </w:rPr>
        <w:t>τα ακόλουθα:</w:t>
      </w:r>
    </w:p>
    <w:p w14:paraId="79152783" w14:textId="77777777" w:rsidR="000A0AE3" w:rsidRDefault="00943D58" w:rsidP="00943D58">
      <w:pPr>
        <w:pStyle w:val="ListParagraph"/>
        <w:numPr>
          <w:ilvl w:val="0"/>
          <w:numId w:val="30"/>
        </w:numPr>
        <w:jc w:val="both"/>
        <w:rPr>
          <w:rFonts w:ascii="Arial" w:hAnsi="Arial" w:cs="Arial"/>
          <w:sz w:val="20"/>
          <w:szCs w:val="20"/>
        </w:rPr>
      </w:pPr>
      <w:r w:rsidRPr="00943D58">
        <w:rPr>
          <w:rFonts w:ascii="Arial" w:hAnsi="Arial" w:cs="Arial"/>
          <w:sz w:val="20"/>
          <w:szCs w:val="20"/>
        </w:rPr>
        <w:t xml:space="preserve">Πρώτη παραγωγή από τις Σκουριές το 2026 και όχι το 2025. </w:t>
      </w:r>
    </w:p>
    <w:p w14:paraId="454DE6D6" w14:textId="77777777" w:rsidR="004B4F1A" w:rsidRDefault="000A0AE3" w:rsidP="00943D58">
      <w:pPr>
        <w:pStyle w:val="ListParagraph"/>
        <w:numPr>
          <w:ilvl w:val="0"/>
          <w:numId w:val="30"/>
        </w:numPr>
        <w:jc w:val="both"/>
        <w:rPr>
          <w:rFonts w:ascii="Arial" w:hAnsi="Arial" w:cs="Arial"/>
          <w:sz w:val="20"/>
          <w:szCs w:val="20"/>
        </w:rPr>
      </w:pPr>
      <w:r w:rsidRPr="006C72E6">
        <w:rPr>
          <w:rFonts w:ascii="Arial" w:hAnsi="Arial" w:cs="Arial"/>
          <w:sz w:val="20"/>
          <w:szCs w:val="20"/>
        </w:rPr>
        <w:t xml:space="preserve">Στο Kisladag, η αναμενόμενη παραγωγή έχει επηρεαστεί από μεγαλύτερους από τους προγραμματισμένους κύκλους </w:t>
      </w:r>
      <w:r>
        <w:rPr>
          <w:rFonts w:ascii="Arial" w:hAnsi="Arial" w:cs="Arial"/>
          <w:sz w:val="20"/>
          <w:szCs w:val="20"/>
        </w:rPr>
        <w:t>επεξεργασίας (</w:t>
      </w:r>
      <w:r w:rsidRPr="006C72E6">
        <w:rPr>
          <w:rFonts w:ascii="Arial" w:hAnsi="Arial" w:cs="Arial"/>
          <w:sz w:val="20"/>
          <w:szCs w:val="20"/>
        </w:rPr>
        <w:t>έκπλυσης</w:t>
      </w:r>
      <w:r>
        <w:rPr>
          <w:rFonts w:ascii="Arial" w:hAnsi="Arial" w:cs="Arial"/>
          <w:sz w:val="20"/>
          <w:szCs w:val="20"/>
        </w:rPr>
        <w:t>)</w:t>
      </w:r>
      <w:r w:rsidRPr="006C72E6">
        <w:rPr>
          <w:rFonts w:ascii="Arial" w:hAnsi="Arial" w:cs="Arial"/>
          <w:sz w:val="20"/>
          <w:szCs w:val="20"/>
        </w:rPr>
        <w:t xml:space="preserve"> και χαμηλότερη</w:t>
      </w:r>
      <w:r>
        <w:rPr>
          <w:rFonts w:ascii="Arial" w:hAnsi="Arial" w:cs="Arial"/>
          <w:sz w:val="20"/>
          <w:szCs w:val="20"/>
        </w:rPr>
        <w:t xml:space="preserve"> περιεκτικότητα χρυσού στο</w:t>
      </w:r>
      <w:r w:rsidRPr="006C72E6">
        <w:rPr>
          <w:rFonts w:ascii="Arial" w:hAnsi="Arial" w:cs="Arial"/>
          <w:sz w:val="20"/>
          <w:szCs w:val="20"/>
        </w:rPr>
        <w:t xml:space="preserve"> </w:t>
      </w:r>
      <w:r>
        <w:rPr>
          <w:rFonts w:ascii="Arial" w:hAnsi="Arial" w:cs="Arial"/>
          <w:sz w:val="20"/>
          <w:szCs w:val="20"/>
        </w:rPr>
        <w:t>μετάλλευμα</w:t>
      </w:r>
      <w:r w:rsidRPr="006C72E6">
        <w:rPr>
          <w:rFonts w:ascii="Arial" w:hAnsi="Arial" w:cs="Arial"/>
          <w:sz w:val="20"/>
          <w:szCs w:val="20"/>
        </w:rPr>
        <w:t>.</w:t>
      </w:r>
    </w:p>
    <w:p w14:paraId="50D24700" w14:textId="67E01A17" w:rsidR="004B4F1A" w:rsidRDefault="00943D58" w:rsidP="00943D58">
      <w:pPr>
        <w:pStyle w:val="ListParagraph"/>
        <w:numPr>
          <w:ilvl w:val="0"/>
          <w:numId w:val="30"/>
        </w:numPr>
        <w:jc w:val="both"/>
        <w:rPr>
          <w:rFonts w:ascii="Arial" w:hAnsi="Arial" w:cs="Arial"/>
          <w:sz w:val="20"/>
          <w:szCs w:val="20"/>
        </w:rPr>
      </w:pPr>
      <w:r w:rsidRPr="00943D58">
        <w:rPr>
          <w:rFonts w:ascii="Arial" w:hAnsi="Arial" w:cs="Arial"/>
          <w:sz w:val="20"/>
          <w:szCs w:val="20"/>
        </w:rPr>
        <w:t xml:space="preserve">Στην Ολυμπιάδα, η αναμενόμενη παραγωγή έχει επηρεαστεί από την καθυστέρηση στην έναρξη λειτουργίας της επέκτασης του μύλου </w:t>
      </w:r>
      <w:r w:rsidR="004B4F1A">
        <w:rPr>
          <w:rFonts w:ascii="Arial" w:hAnsi="Arial" w:cs="Arial"/>
          <w:sz w:val="20"/>
          <w:szCs w:val="20"/>
        </w:rPr>
        <w:t>στους</w:t>
      </w:r>
      <w:r w:rsidRPr="00943D58">
        <w:rPr>
          <w:rFonts w:ascii="Arial" w:hAnsi="Arial" w:cs="Arial"/>
          <w:sz w:val="20"/>
          <w:szCs w:val="20"/>
        </w:rPr>
        <w:t xml:space="preserve"> 650</w:t>
      </w:r>
      <w:r w:rsidR="004B4F1A">
        <w:rPr>
          <w:rFonts w:ascii="Arial" w:hAnsi="Arial" w:cs="Arial"/>
          <w:sz w:val="20"/>
          <w:szCs w:val="20"/>
        </w:rPr>
        <w:t xml:space="preserve"> </w:t>
      </w:r>
      <w:r w:rsidR="000E144C">
        <w:rPr>
          <w:rFonts w:ascii="Arial" w:hAnsi="Arial" w:cs="Arial"/>
          <w:sz w:val="20"/>
          <w:szCs w:val="20"/>
        </w:rPr>
        <w:t xml:space="preserve">χιλιάδες </w:t>
      </w:r>
      <w:r w:rsidR="004B4F1A">
        <w:rPr>
          <w:rFonts w:ascii="Arial" w:hAnsi="Arial" w:cs="Arial"/>
          <w:sz w:val="20"/>
          <w:szCs w:val="20"/>
        </w:rPr>
        <w:t>τόνους/έτος</w:t>
      </w:r>
      <w:r w:rsidRPr="00943D58">
        <w:rPr>
          <w:rFonts w:ascii="Arial" w:hAnsi="Arial" w:cs="Arial"/>
          <w:sz w:val="20"/>
          <w:szCs w:val="20"/>
        </w:rPr>
        <w:t xml:space="preserve"> και </w:t>
      </w:r>
      <w:r w:rsidRPr="25D987CB">
        <w:rPr>
          <w:rFonts w:ascii="Arial" w:hAnsi="Arial" w:cs="Arial"/>
          <w:sz w:val="20"/>
          <w:szCs w:val="20"/>
        </w:rPr>
        <w:t>τη</w:t>
      </w:r>
      <w:r w:rsidR="2CEB7153" w:rsidRPr="25D987CB">
        <w:rPr>
          <w:rFonts w:ascii="Arial" w:hAnsi="Arial" w:cs="Arial"/>
          <w:sz w:val="20"/>
          <w:szCs w:val="20"/>
        </w:rPr>
        <w:t>ν έκτακτη</w:t>
      </w:r>
      <w:r w:rsidR="00992A2D">
        <w:rPr>
          <w:rFonts w:ascii="Arial" w:hAnsi="Arial" w:cs="Arial"/>
          <w:sz w:val="20"/>
          <w:szCs w:val="20"/>
        </w:rPr>
        <w:t xml:space="preserve"> </w:t>
      </w:r>
      <w:r w:rsidRPr="00943D58">
        <w:rPr>
          <w:rFonts w:ascii="Arial" w:hAnsi="Arial" w:cs="Arial"/>
          <w:sz w:val="20"/>
          <w:szCs w:val="20"/>
        </w:rPr>
        <w:t xml:space="preserve">συντήρηση των φίλτρων συμπυκνώματος χρυσού. </w:t>
      </w:r>
    </w:p>
    <w:p w14:paraId="03A99CBF" w14:textId="77777777" w:rsidR="004B4F1A" w:rsidRDefault="004B4F1A" w:rsidP="004B4F1A">
      <w:pPr>
        <w:pStyle w:val="ListParagraph"/>
        <w:jc w:val="both"/>
        <w:rPr>
          <w:rFonts w:ascii="Arial" w:hAnsi="Arial" w:cs="Arial"/>
          <w:sz w:val="20"/>
          <w:szCs w:val="20"/>
        </w:rPr>
      </w:pPr>
    </w:p>
    <w:p w14:paraId="108A7C9E" w14:textId="38B5FC10" w:rsidR="006B0E05" w:rsidRPr="004B4F1A" w:rsidRDefault="00943D58" w:rsidP="004B4F1A">
      <w:pPr>
        <w:jc w:val="both"/>
        <w:rPr>
          <w:rFonts w:ascii="Arial" w:hAnsi="Arial" w:cs="Arial"/>
          <w:sz w:val="20"/>
          <w:szCs w:val="20"/>
        </w:rPr>
      </w:pPr>
      <w:r w:rsidRPr="004B4F1A">
        <w:rPr>
          <w:rFonts w:ascii="Arial" w:hAnsi="Arial" w:cs="Arial"/>
          <w:sz w:val="20"/>
          <w:szCs w:val="20"/>
        </w:rPr>
        <w:t xml:space="preserve">Όπως και τα προηγούμενα χρόνια, η τριμηνιαία παραγωγή χρυσού το 2025 αναμένεται να </w:t>
      </w:r>
      <w:r w:rsidR="00962774">
        <w:rPr>
          <w:rFonts w:ascii="Arial" w:hAnsi="Arial" w:cs="Arial"/>
          <w:sz w:val="20"/>
          <w:szCs w:val="20"/>
        </w:rPr>
        <w:t>έχει διακυμάνσεις</w:t>
      </w:r>
      <w:r w:rsidRPr="004B4F1A">
        <w:rPr>
          <w:rFonts w:ascii="Arial" w:hAnsi="Arial" w:cs="Arial"/>
          <w:sz w:val="20"/>
          <w:szCs w:val="20"/>
        </w:rPr>
        <w:t xml:space="preserve"> με </w:t>
      </w:r>
      <w:r w:rsidR="00962774">
        <w:rPr>
          <w:rFonts w:ascii="Arial" w:hAnsi="Arial" w:cs="Arial"/>
          <w:sz w:val="20"/>
          <w:szCs w:val="20"/>
        </w:rPr>
        <w:t xml:space="preserve">την </w:t>
      </w:r>
      <w:r w:rsidRPr="004B4F1A">
        <w:rPr>
          <w:rFonts w:ascii="Arial" w:hAnsi="Arial" w:cs="Arial"/>
          <w:sz w:val="20"/>
          <w:szCs w:val="20"/>
        </w:rPr>
        <w:t xml:space="preserve">υψηλότερη παραγωγή να αναμένεται </w:t>
      </w:r>
      <w:r w:rsidR="00962774">
        <w:rPr>
          <w:rFonts w:ascii="Arial" w:hAnsi="Arial" w:cs="Arial"/>
          <w:sz w:val="20"/>
          <w:szCs w:val="20"/>
        </w:rPr>
        <w:t>σ</w:t>
      </w:r>
      <w:r w:rsidRPr="004B4F1A">
        <w:rPr>
          <w:rFonts w:ascii="Arial" w:hAnsi="Arial" w:cs="Arial"/>
          <w:sz w:val="20"/>
          <w:szCs w:val="20"/>
        </w:rPr>
        <w:t xml:space="preserve">το δεύτερο εξάμηνο ως αποτέλεσμα της μεταβλητότητας της ποιότητας μεταλλεύματος σε </w:t>
      </w:r>
      <w:r w:rsidR="00686ABD">
        <w:rPr>
          <w:rFonts w:ascii="Arial" w:hAnsi="Arial" w:cs="Arial"/>
          <w:sz w:val="20"/>
          <w:szCs w:val="20"/>
        </w:rPr>
        <w:t>όλα τα μεταλλευτικά έργα της Εταιρείας</w:t>
      </w:r>
      <w:r w:rsidRPr="004B4F1A">
        <w:rPr>
          <w:rFonts w:ascii="Arial" w:hAnsi="Arial" w:cs="Arial"/>
          <w:sz w:val="20"/>
          <w:szCs w:val="20"/>
        </w:rPr>
        <w:t xml:space="preserve"> και του αντίκτυπου των χειμερινών συνθηκών στο Kisladag.</w:t>
      </w:r>
    </w:p>
    <w:p w14:paraId="561687BB" w14:textId="77777777" w:rsidR="000A0AE3" w:rsidRDefault="000A0AE3" w:rsidP="000A0AE3">
      <w:pPr>
        <w:jc w:val="both"/>
        <w:rPr>
          <w:rFonts w:ascii="Arial" w:hAnsi="Arial" w:cs="Arial"/>
          <w:sz w:val="20"/>
          <w:szCs w:val="20"/>
        </w:rPr>
      </w:pPr>
    </w:p>
    <w:p w14:paraId="2BDB6E86" w14:textId="3D2621CA" w:rsidR="006B0E05" w:rsidRPr="006C72E6" w:rsidRDefault="006B0E05" w:rsidP="006B0E05">
      <w:pPr>
        <w:jc w:val="both"/>
        <w:rPr>
          <w:rFonts w:ascii="Arial" w:hAnsi="Arial" w:cs="Arial"/>
          <w:sz w:val="20"/>
          <w:szCs w:val="20"/>
        </w:rPr>
      </w:pPr>
      <w:r w:rsidRPr="006C72E6">
        <w:rPr>
          <w:rFonts w:ascii="Arial" w:hAnsi="Arial" w:cs="Arial"/>
          <w:sz w:val="20"/>
          <w:szCs w:val="20"/>
        </w:rPr>
        <w:t xml:space="preserve">Το </w:t>
      </w:r>
      <w:r w:rsidR="00054DDA" w:rsidRPr="00054DDA">
        <w:rPr>
          <w:rFonts w:ascii="Arial" w:hAnsi="Arial" w:cs="Arial"/>
          <w:sz w:val="20"/>
          <w:szCs w:val="20"/>
        </w:rPr>
        <w:t xml:space="preserve">Συνολικό Κόστος σε Μετρητά </w:t>
      </w:r>
      <w:r w:rsidRPr="006C72E6">
        <w:rPr>
          <w:rFonts w:ascii="Arial" w:hAnsi="Arial" w:cs="Arial"/>
          <w:sz w:val="20"/>
          <w:szCs w:val="20"/>
          <w:vertAlign w:val="superscript"/>
        </w:rPr>
        <w:t>(1)</w:t>
      </w:r>
      <w:r w:rsidRPr="006C72E6">
        <w:rPr>
          <w:rFonts w:ascii="Arial" w:hAnsi="Arial" w:cs="Arial"/>
          <w:sz w:val="20"/>
          <w:szCs w:val="20"/>
        </w:rPr>
        <w:t xml:space="preserve"> το 2025 αναμένεται να είναι μεταξύ 9</w:t>
      </w:r>
      <w:r w:rsidR="00E648F4">
        <w:rPr>
          <w:rFonts w:ascii="Arial" w:hAnsi="Arial" w:cs="Arial"/>
          <w:sz w:val="20"/>
          <w:szCs w:val="20"/>
        </w:rPr>
        <w:t>8</w:t>
      </w:r>
      <w:r w:rsidRPr="006C72E6">
        <w:rPr>
          <w:rFonts w:ascii="Arial" w:hAnsi="Arial" w:cs="Arial"/>
          <w:sz w:val="20"/>
          <w:szCs w:val="20"/>
        </w:rPr>
        <w:t>0 και 1.0</w:t>
      </w:r>
      <w:r w:rsidR="00E648F4">
        <w:rPr>
          <w:rFonts w:ascii="Arial" w:hAnsi="Arial" w:cs="Arial"/>
          <w:sz w:val="20"/>
          <w:szCs w:val="20"/>
        </w:rPr>
        <w:t>8</w:t>
      </w:r>
      <w:r w:rsidRPr="006C72E6">
        <w:rPr>
          <w:rFonts w:ascii="Arial" w:hAnsi="Arial" w:cs="Arial"/>
          <w:sz w:val="20"/>
          <w:szCs w:val="20"/>
        </w:rPr>
        <w:t xml:space="preserve">0 δολαρίων ανά </w:t>
      </w:r>
      <w:r w:rsidR="0051186C">
        <w:rPr>
          <w:rFonts w:ascii="Arial" w:hAnsi="Arial" w:cs="Arial"/>
          <w:sz w:val="20"/>
          <w:szCs w:val="20"/>
        </w:rPr>
        <w:t xml:space="preserve">πωληθείσα </w:t>
      </w:r>
      <w:r w:rsidRPr="006C72E6">
        <w:rPr>
          <w:rFonts w:ascii="Arial" w:hAnsi="Arial" w:cs="Arial"/>
          <w:sz w:val="20"/>
          <w:szCs w:val="20"/>
        </w:rPr>
        <w:t xml:space="preserve">ουγγιά και μέσο </w:t>
      </w:r>
      <w:r w:rsidR="00C73354" w:rsidRPr="00C73354">
        <w:rPr>
          <w:rFonts w:ascii="Arial" w:hAnsi="Arial" w:cs="Arial"/>
          <w:sz w:val="20"/>
          <w:szCs w:val="20"/>
        </w:rPr>
        <w:t xml:space="preserve">Συνολικό Κόστος </w:t>
      </w:r>
      <w:r w:rsidR="00610798">
        <w:rPr>
          <w:rFonts w:ascii="Arial" w:hAnsi="Arial" w:cs="Arial"/>
          <w:sz w:val="20"/>
          <w:szCs w:val="20"/>
        </w:rPr>
        <w:t xml:space="preserve">Διατήρησης </w:t>
      </w:r>
      <w:r w:rsidR="00C73354">
        <w:rPr>
          <w:rFonts w:ascii="Arial" w:hAnsi="Arial" w:cs="Arial"/>
          <w:sz w:val="20"/>
          <w:szCs w:val="20"/>
        </w:rPr>
        <w:t>(</w:t>
      </w:r>
      <w:r w:rsidRPr="006C72E6">
        <w:rPr>
          <w:rFonts w:ascii="Arial" w:hAnsi="Arial" w:cs="Arial"/>
          <w:sz w:val="20"/>
          <w:szCs w:val="20"/>
        </w:rPr>
        <w:t>AISC</w:t>
      </w:r>
      <w:r w:rsidR="00C73354">
        <w:rPr>
          <w:rFonts w:ascii="Arial" w:hAnsi="Arial" w:cs="Arial"/>
          <w:sz w:val="20"/>
          <w:szCs w:val="20"/>
        </w:rPr>
        <w:t>)</w:t>
      </w:r>
      <w:r w:rsidRPr="006C72E6">
        <w:rPr>
          <w:rFonts w:ascii="Arial" w:hAnsi="Arial" w:cs="Arial"/>
          <w:sz w:val="20"/>
          <w:szCs w:val="20"/>
          <w:vertAlign w:val="superscript"/>
        </w:rPr>
        <w:t xml:space="preserve"> (1)</w:t>
      </w:r>
      <w:r w:rsidRPr="006C72E6">
        <w:rPr>
          <w:rFonts w:ascii="Arial" w:hAnsi="Arial" w:cs="Arial"/>
          <w:sz w:val="20"/>
          <w:szCs w:val="20"/>
        </w:rPr>
        <w:t xml:space="preserve"> 1.3</w:t>
      </w:r>
      <w:r w:rsidR="00E648F4">
        <w:rPr>
          <w:rFonts w:ascii="Arial" w:hAnsi="Arial" w:cs="Arial"/>
          <w:sz w:val="20"/>
          <w:szCs w:val="20"/>
        </w:rPr>
        <w:t>7</w:t>
      </w:r>
      <w:r w:rsidRPr="006C72E6">
        <w:rPr>
          <w:rFonts w:ascii="Arial" w:hAnsi="Arial" w:cs="Arial"/>
          <w:sz w:val="20"/>
          <w:szCs w:val="20"/>
        </w:rPr>
        <w:t>0 έως 1.4</w:t>
      </w:r>
      <w:r w:rsidR="00E648F4">
        <w:rPr>
          <w:rFonts w:ascii="Arial" w:hAnsi="Arial" w:cs="Arial"/>
          <w:sz w:val="20"/>
          <w:szCs w:val="20"/>
        </w:rPr>
        <w:t>7</w:t>
      </w:r>
      <w:r w:rsidRPr="006C72E6">
        <w:rPr>
          <w:rFonts w:ascii="Arial" w:hAnsi="Arial" w:cs="Arial"/>
          <w:sz w:val="20"/>
          <w:szCs w:val="20"/>
        </w:rPr>
        <w:t xml:space="preserve">0 δολαρίων ανά </w:t>
      </w:r>
      <w:r w:rsidR="0097383E">
        <w:rPr>
          <w:rFonts w:ascii="Arial" w:hAnsi="Arial" w:cs="Arial"/>
          <w:sz w:val="20"/>
          <w:szCs w:val="20"/>
        </w:rPr>
        <w:t xml:space="preserve">πωληθείσα </w:t>
      </w:r>
      <w:r w:rsidRPr="006C72E6">
        <w:rPr>
          <w:rFonts w:ascii="Arial" w:hAnsi="Arial" w:cs="Arial"/>
          <w:sz w:val="20"/>
          <w:szCs w:val="20"/>
        </w:rPr>
        <w:t xml:space="preserve">ουγγιά. Η αναμενόμενη αύξηση του κόστους το 2025 οφείλεται στο </w:t>
      </w:r>
      <w:r w:rsidR="00314231">
        <w:rPr>
          <w:rFonts w:ascii="Arial" w:hAnsi="Arial" w:cs="Arial"/>
          <w:sz w:val="20"/>
          <w:szCs w:val="20"/>
        </w:rPr>
        <w:t xml:space="preserve">προβλεπόμενο </w:t>
      </w:r>
      <w:r w:rsidRPr="006C72E6">
        <w:rPr>
          <w:rFonts w:ascii="Arial" w:hAnsi="Arial" w:cs="Arial"/>
          <w:sz w:val="20"/>
          <w:szCs w:val="20"/>
        </w:rPr>
        <w:t xml:space="preserve">υψηλότερο κόστος εργασίας </w:t>
      </w:r>
      <w:r w:rsidR="00E9663C">
        <w:rPr>
          <w:rFonts w:ascii="Arial" w:hAnsi="Arial" w:cs="Arial"/>
          <w:sz w:val="20"/>
          <w:szCs w:val="20"/>
        </w:rPr>
        <w:t xml:space="preserve">ως αποτέλεσμα του </w:t>
      </w:r>
      <w:r w:rsidR="00E9663C">
        <w:rPr>
          <w:rFonts w:ascii="Arial" w:hAnsi="Arial" w:cs="Arial"/>
          <w:sz w:val="20"/>
          <w:szCs w:val="20"/>
        </w:rPr>
        <w:lastRenderedPageBreak/>
        <w:t xml:space="preserve">πληθωρισμού κυρίως στην Τουρκία καθώς και της χαμηλότερης παραγωγής, </w:t>
      </w:r>
      <w:r w:rsidRPr="006C72E6">
        <w:rPr>
          <w:rFonts w:ascii="Arial" w:hAnsi="Arial" w:cs="Arial"/>
          <w:sz w:val="20"/>
          <w:szCs w:val="20"/>
        </w:rPr>
        <w:t>στο αυξημένο κεφάλαιο διατήρησης και στ</w:t>
      </w:r>
      <w:r w:rsidR="00D92349">
        <w:rPr>
          <w:rFonts w:ascii="Arial" w:hAnsi="Arial" w:cs="Arial"/>
          <w:sz w:val="20"/>
          <w:szCs w:val="20"/>
        </w:rPr>
        <w:t>α</w:t>
      </w:r>
      <w:r w:rsidRPr="006C72E6">
        <w:rPr>
          <w:rFonts w:ascii="Arial" w:hAnsi="Arial" w:cs="Arial"/>
          <w:sz w:val="20"/>
          <w:szCs w:val="20"/>
        </w:rPr>
        <w:t xml:space="preserve"> υψηλότε</w:t>
      </w:r>
      <w:r w:rsidR="00711AD0">
        <w:rPr>
          <w:rFonts w:ascii="Arial" w:hAnsi="Arial" w:cs="Arial"/>
          <w:sz w:val="20"/>
          <w:szCs w:val="20"/>
        </w:rPr>
        <w:t>ρα μεταλλευτικά</w:t>
      </w:r>
      <w:r w:rsidRPr="006C72E6">
        <w:rPr>
          <w:rFonts w:ascii="Arial" w:hAnsi="Arial" w:cs="Arial"/>
          <w:sz w:val="20"/>
          <w:szCs w:val="20"/>
        </w:rPr>
        <w:t xml:space="preserve"> δικαιώματα, </w:t>
      </w:r>
      <w:r w:rsidR="00337DC5">
        <w:rPr>
          <w:rFonts w:ascii="Arial" w:hAnsi="Arial" w:cs="Arial"/>
          <w:sz w:val="20"/>
          <w:szCs w:val="20"/>
        </w:rPr>
        <w:t>τα οποία</w:t>
      </w:r>
      <w:r w:rsidRPr="006C72E6">
        <w:rPr>
          <w:rFonts w:ascii="Arial" w:hAnsi="Arial" w:cs="Arial"/>
          <w:sz w:val="20"/>
          <w:szCs w:val="20"/>
        </w:rPr>
        <w:t xml:space="preserve"> αντισταθμίζονται εν μέρει από υψηλότερ</w:t>
      </w:r>
      <w:r w:rsidR="00A475C4">
        <w:rPr>
          <w:rFonts w:ascii="Arial" w:hAnsi="Arial" w:cs="Arial"/>
          <w:sz w:val="20"/>
          <w:szCs w:val="20"/>
        </w:rPr>
        <w:t>α έσοδα των παρα</w:t>
      </w:r>
      <w:r w:rsidRPr="006C72E6">
        <w:rPr>
          <w:rFonts w:ascii="Arial" w:hAnsi="Arial" w:cs="Arial"/>
          <w:sz w:val="20"/>
          <w:szCs w:val="20"/>
        </w:rPr>
        <w:t>προϊόντων</w:t>
      </w:r>
      <w:r w:rsidR="00A475C4">
        <w:rPr>
          <w:rFonts w:ascii="Arial" w:hAnsi="Arial" w:cs="Arial"/>
          <w:sz w:val="20"/>
          <w:szCs w:val="20"/>
        </w:rPr>
        <w:t xml:space="preserve"> (βασικά μέταλλα)</w:t>
      </w:r>
      <w:r w:rsidRPr="006C72E6">
        <w:rPr>
          <w:rFonts w:ascii="Arial" w:hAnsi="Arial" w:cs="Arial"/>
          <w:sz w:val="20"/>
          <w:szCs w:val="20"/>
        </w:rPr>
        <w:t xml:space="preserve">.  </w:t>
      </w:r>
    </w:p>
    <w:p w14:paraId="1C2BDC34" w14:textId="77777777" w:rsidR="006B0E05" w:rsidRPr="006C72E6" w:rsidRDefault="006B0E05" w:rsidP="006B0E05">
      <w:pPr>
        <w:jc w:val="both"/>
        <w:rPr>
          <w:rFonts w:ascii="Arial" w:hAnsi="Arial" w:cs="Arial"/>
          <w:sz w:val="20"/>
          <w:szCs w:val="20"/>
        </w:rPr>
      </w:pPr>
    </w:p>
    <w:p w14:paraId="5518D3B1" w14:textId="3EFAF7DE" w:rsidR="006B0E05" w:rsidRPr="006C72E6" w:rsidRDefault="00035428" w:rsidP="00035428">
      <w:pPr>
        <w:jc w:val="both"/>
        <w:rPr>
          <w:rFonts w:ascii="Arial" w:hAnsi="Arial" w:cs="Arial"/>
          <w:sz w:val="16"/>
          <w:szCs w:val="16"/>
        </w:rPr>
      </w:pPr>
      <w:bookmarkStart w:id="4" w:name="_Hlk158279424"/>
      <w:r w:rsidRPr="006C72E6">
        <w:rPr>
          <w:rFonts w:ascii="Arial" w:hAnsi="Arial" w:cs="Arial"/>
          <w:sz w:val="16"/>
          <w:szCs w:val="16"/>
          <w:vertAlign w:val="superscript"/>
        </w:rPr>
        <w:t xml:space="preserve">(1) </w:t>
      </w:r>
      <w:r w:rsidR="006B0E05" w:rsidRPr="006C72E6">
        <w:rPr>
          <w:rFonts w:ascii="Arial" w:hAnsi="Arial" w:cs="Arial"/>
          <w:sz w:val="16"/>
          <w:szCs w:val="16"/>
        </w:rPr>
        <w:t>Το συνολικό κόστος μετρητών ανά πωληθείσα ουγγιά και η AISC ανά πωληθείσα ουγγιά είναι χρηματοοικονομικά μέτρα εκτός ΔΠΧΑ. Ορισμένες πρόσθετες γνωστοποιήσεις για χρηματοοικονομικά μεγέθη και δείκτες εκτός ΔΠΧΑ έχουν ενσωματωθεί μέσω παραπομπής, ενώ πρόσθετες λεπτομέρειες διατίθενται στο τέλος του παρόντος δελτίου τύπου και στην ενότητα «Μη ΔΠΧΑ και άλλα χρηματοοικονομικά μέτρα και δείκτες».</w:t>
      </w:r>
    </w:p>
    <w:p w14:paraId="7FC9C101" w14:textId="77777777" w:rsidR="00136380" w:rsidRPr="006C72E6" w:rsidRDefault="00136380" w:rsidP="00035428">
      <w:pPr>
        <w:jc w:val="both"/>
        <w:rPr>
          <w:rFonts w:ascii="Arial" w:hAnsi="Arial" w:cs="Arial"/>
          <w:sz w:val="16"/>
          <w:szCs w:val="16"/>
        </w:rPr>
      </w:pPr>
    </w:p>
    <w:bookmarkEnd w:id="4"/>
    <w:p w14:paraId="0F443D09" w14:textId="43938B76" w:rsidR="00292C52" w:rsidRPr="006C72E6" w:rsidRDefault="00292C52" w:rsidP="00292C52">
      <w:pPr>
        <w:spacing w:after="120"/>
        <w:jc w:val="both"/>
        <w:rPr>
          <w:rFonts w:ascii="Arial" w:hAnsi="Arial" w:cs="Arial"/>
          <w:sz w:val="20"/>
          <w:szCs w:val="20"/>
        </w:rPr>
      </w:pPr>
      <w:r w:rsidRPr="006C72E6">
        <w:rPr>
          <w:rFonts w:ascii="Arial" w:hAnsi="Arial" w:cs="Arial"/>
          <w:sz w:val="20"/>
          <w:szCs w:val="20"/>
        </w:rPr>
        <w:t xml:space="preserve">Οι δαπάνες </w:t>
      </w:r>
      <w:r>
        <w:rPr>
          <w:rFonts w:ascii="Arial" w:hAnsi="Arial" w:cs="Arial"/>
          <w:sz w:val="20"/>
          <w:szCs w:val="20"/>
        </w:rPr>
        <w:t>έρευνας</w:t>
      </w:r>
      <w:r w:rsidRPr="006C72E6">
        <w:rPr>
          <w:rFonts w:ascii="Arial" w:hAnsi="Arial" w:cs="Arial"/>
          <w:sz w:val="20"/>
          <w:szCs w:val="20"/>
        </w:rPr>
        <w:t xml:space="preserve"> και αξιολόγησης αναμένεται να κυμανθούν μεταξύ 29 και 32 εκατομμυρίων δολαρίων το 2025, με το 88% να δαπανάται και το 12% να κεφαλαιοποιείται. Τα γενικά και διοικητικά έξοδα αναμένεται να κυμανθούν μεταξύ 35 και 38 εκατομμυρίων δολαρίων το 2025 και τα έξοδα απόσβεσης αναμένεται να κυμανθούν μεταξύ 26</w:t>
      </w:r>
      <w:r w:rsidR="00213678">
        <w:rPr>
          <w:rFonts w:ascii="Arial" w:hAnsi="Arial" w:cs="Arial"/>
          <w:sz w:val="20"/>
          <w:szCs w:val="20"/>
        </w:rPr>
        <w:t>0</w:t>
      </w:r>
      <w:r w:rsidRPr="006C72E6">
        <w:rPr>
          <w:rFonts w:ascii="Arial" w:hAnsi="Arial" w:cs="Arial"/>
          <w:sz w:val="20"/>
          <w:szCs w:val="20"/>
        </w:rPr>
        <w:t xml:space="preserve"> και 27</w:t>
      </w:r>
      <w:r w:rsidR="00213678">
        <w:rPr>
          <w:rFonts w:ascii="Arial" w:hAnsi="Arial" w:cs="Arial"/>
          <w:sz w:val="20"/>
          <w:szCs w:val="20"/>
        </w:rPr>
        <w:t>0</w:t>
      </w:r>
      <w:r w:rsidRPr="006C72E6">
        <w:rPr>
          <w:rFonts w:ascii="Arial" w:hAnsi="Arial" w:cs="Arial"/>
          <w:sz w:val="20"/>
          <w:szCs w:val="20"/>
        </w:rPr>
        <w:t xml:space="preserve"> εκατομμυρίων δολαρίων.</w:t>
      </w:r>
    </w:p>
    <w:p w14:paraId="349DE8EC" w14:textId="77777777" w:rsidR="00BD4094" w:rsidRDefault="00BD4094" w:rsidP="006B0E05">
      <w:pPr>
        <w:spacing w:after="160" w:line="259" w:lineRule="auto"/>
        <w:rPr>
          <w:rFonts w:ascii="Arial" w:hAnsi="Arial" w:cs="Arial"/>
          <w:b/>
          <w:bCs/>
        </w:rPr>
      </w:pPr>
    </w:p>
    <w:p w14:paraId="752AA713" w14:textId="7C98FE93" w:rsidR="006B0E05" w:rsidRPr="006C72E6" w:rsidRDefault="006B0E05" w:rsidP="006B0E05">
      <w:pPr>
        <w:jc w:val="both"/>
        <w:rPr>
          <w:rFonts w:ascii="Arial" w:hAnsi="Arial" w:cs="Arial"/>
          <w:b/>
          <w:color w:val="008264"/>
          <w:sz w:val="22"/>
        </w:rPr>
      </w:pPr>
      <w:r w:rsidRPr="006C72E6">
        <w:rPr>
          <w:rFonts w:ascii="Arial" w:hAnsi="Arial" w:cs="Arial"/>
          <w:b/>
          <w:color w:val="008264"/>
          <w:sz w:val="22"/>
        </w:rPr>
        <w:t>ΕΛΛ</w:t>
      </w:r>
      <w:r w:rsidR="00112D48">
        <w:rPr>
          <w:rFonts w:ascii="Arial" w:hAnsi="Arial" w:cs="Arial"/>
          <w:b/>
          <w:color w:val="008264"/>
          <w:sz w:val="22"/>
        </w:rPr>
        <w:t>Α</w:t>
      </w:r>
      <w:r w:rsidRPr="006C72E6">
        <w:rPr>
          <w:rFonts w:ascii="Arial" w:hAnsi="Arial" w:cs="Arial"/>
          <w:b/>
          <w:color w:val="008264"/>
          <w:sz w:val="22"/>
        </w:rPr>
        <w:t>ΔΑ</w:t>
      </w:r>
    </w:p>
    <w:p w14:paraId="00588622" w14:textId="77777777" w:rsidR="006B0E05" w:rsidRPr="006C72E6" w:rsidRDefault="006B0E05" w:rsidP="006B0E05">
      <w:pPr>
        <w:jc w:val="both"/>
        <w:rPr>
          <w:rFonts w:ascii="Arial" w:hAnsi="Arial" w:cs="Arial"/>
          <w:b/>
          <w:color w:val="4F81BD" w:themeColor="accent1"/>
          <w:sz w:val="22"/>
        </w:rPr>
      </w:pPr>
    </w:p>
    <w:p w14:paraId="5F1E6E23" w14:textId="559C57DB" w:rsidR="006B0E05" w:rsidRPr="006C72E6" w:rsidRDefault="006B0E05" w:rsidP="006B0E05">
      <w:pPr>
        <w:jc w:val="both"/>
        <w:rPr>
          <w:rFonts w:ascii="Arial" w:hAnsi="Arial" w:cs="Arial"/>
          <w:sz w:val="22"/>
        </w:rPr>
      </w:pPr>
      <w:r w:rsidRPr="006C72E6">
        <w:rPr>
          <w:rFonts w:ascii="Arial" w:hAnsi="Arial" w:cs="Arial"/>
          <w:b/>
          <w:sz w:val="22"/>
        </w:rPr>
        <w:t>Ολυμπ</w:t>
      </w:r>
      <w:r w:rsidR="008E31A2">
        <w:rPr>
          <w:rFonts w:ascii="Arial" w:hAnsi="Arial" w:cs="Arial"/>
          <w:b/>
          <w:sz w:val="22"/>
        </w:rPr>
        <w:t>ιάδα</w:t>
      </w:r>
    </w:p>
    <w:p w14:paraId="7F634A3F" w14:textId="5FB3B339" w:rsidR="00475A12" w:rsidRPr="006C72E6" w:rsidRDefault="006B0E05" w:rsidP="00803BD7">
      <w:pPr>
        <w:jc w:val="both"/>
        <w:rPr>
          <w:rFonts w:ascii="Arial" w:hAnsi="Arial" w:cs="Arial"/>
          <w:sz w:val="20"/>
          <w:szCs w:val="20"/>
        </w:rPr>
      </w:pPr>
      <w:r w:rsidRPr="25D987CB">
        <w:rPr>
          <w:rFonts w:ascii="Arial" w:hAnsi="Arial" w:cs="Arial"/>
          <w:sz w:val="20"/>
          <w:szCs w:val="20"/>
        </w:rPr>
        <w:t xml:space="preserve">Το 2025, </w:t>
      </w:r>
      <w:r w:rsidR="0000772D" w:rsidRPr="25D987CB">
        <w:rPr>
          <w:rFonts w:ascii="Arial" w:hAnsi="Arial" w:cs="Arial"/>
          <w:sz w:val="20"/>
          <w:szCs w:val="20"/>
        </w:rPr>
        <w:t>ο στόχος</w:t>
      </w:r>
      <w:r w:rsidRPr="25D987CB">
        <w:rPr>
          <w:rFonts w:ascii="Arial" w:hAnsi="Arial" w:cs="Arial"/>
          <w:sz w:val="20"/>
          <w:szCs w:val="20"/>
        </w:rPr>
        <w:t xml:space="preserve"> παραγωγής 60.000 έως 70.000 ουγγιών στην Ολυμπιάδα αναμένεται να είναι χαμηλότερ</w:t>
      </w:r>
      <w:r w:rsidR="00475A12" w:rsidRPr="25D987CB">
        <w:rPr>
          <w:rFonts w:ascii="Arial" w:hAnsi="Arial" w:cs="Arial"/>
          <w:sz w:val="20"/>
          <w:szCs w:val="20"/>
        </w:rPr>
        <w:t>ος</w:t>
      </w:r>
      <w:r w:rsidRPr="25D987CB">
        <w:rPr>
          <w:rFonts w:ascii="Arial" w:hAnsi="Arial" w:cs="Arial"/>
          <w:sz w:val="20"/>
          <w:szCs w:val="20"/>
        </w:rPr>
        <w:t xml:space="preserve"> από την προηγούμενη </w:t>
      </w:r>
      <w:r w:rsidR="00475A12" w:rsidRPr="25D987CB">
        <w:rPr>
          <w:rFonts w:ascii="Arial" w:hAnsi="Arial" w:cs="Arial"/>
          <w:sz w:val="20"/>
          <w:szCs w:val="20"/>
        </w:rPr>
        <w:t>πρόβλεψη</w:t>
      </w:r>
      <w:r w:rsidRPr="25D987CB">
        <w:rPr>
          <w:rFonts w:ascii="Arial" w:hAnsi="Arial" w:cs="Arial"/>
          <w:sz w:val="20"/>
          <w:szCs w:val="20"/>
        </w:rPr>
        <w:t xml:space="preserve"> </w:t>
      </w:r>
      <w:r w:rsidR="00475A12" w:rsidRPr="25D987CB">
        <w:rPr>
          <w:rFonts w:ascii="Arial" w:hAnsi="Arial" w:cs="Arial"/>
          <w:sz w:val="20"/>
          <w:szCs w:val="20"/>
        </w:rPr>
        <w:t xml:space="preserve">εξαιτίας </w:t>
      </w:r>
      <w:r w:rsidR="00213678" w:rsidRPr="25D987CB">
        <w:rPr>
          <w:rFonts w:ascii="Arial" w:hAnsi="Arial" w:cs="Arial"/>
          <w:sz w:val="20"/>
          <w:szCs w:val="20"/>
        </w:rPr>
        <w:t>της</w:t>
      </w:r>
      <w:r w:rsidR="00475A12" w:rsidRPr="006C72E6">
        <w:rPr>
          <w:rFonts w:ascii="Arial" w:hAnsi="Arial" w:cs="Arial"/>
          <w:sz w:val="20"/>
          <w:szCs w:val="20"/>
        </w:rPr>
        <w:t xml:space="preserve"> καθυστέρηση</w:t>
      </w:r>
      <w:r w:rsidR="00213678">
        <w:rPr>
          <w:rFonts w:ascii="Arial" w:hAnsi="Arial" w:cs="Arial"/>
          <w:sz w:val="20"/>
          <w:szCs w:val="20"/>
        </w:rPr>
        <w:t>ς</w:t>
      </w:r>
      <w:r w:rsidR="00475A12" w:rsidRPr="006C72E6">
        <w:rPr>
          <w:rFonts w:ascii="Arial" w:hAnsi="Arial" w:cs="Arial"/>
          <w:sz w:val="20"/>
          <w:szCs w:val="20"/>
        </w:rPr>
        <w:t xml:space="preserve"> </w:t>
      </w:r>
      <w:r w:rsidR="00C53B79" w:rsidRPr="00943D58">
        <w:rPr>
          <w:rFonts w:ascii="Arial" w:hAnsi="Arial" w:cs="Arial"/>
          <w:sz w:val="20"/>
          <w:szCs w:val="20"/>
        </w:rPr>
        <w:t xml:space="preserve">στην έναρξη λειτουργίας της επέκτασης του μύλου </w:t>
      </w:r>
      <w:r w:rsidR="00C53B79">
        <w:rPr>
          <w:rFonts w:ascii="Arial" w:hAnsi="Arial" w:cs="Arial"/>
          <w:sz w:val="20"/>
          <w:szCs w:val="20"/>
        </w:rPr>
        <w:t>στους</w:t>
      </w:r>
      <w:r w:rsidR="00C53B79" w:rsidRPr="00943D58">
        <w:rPr>
          <w:rFonts w:ascii="Arial" w:hAnsi="Arial" w:cs="Arial"/>
          <w:sz w:val="20"/>
          <w:szCs w:val="20"/>
        </w:rPr>
        <w:t xml:space="preserve"> 650</w:t>
      </w:r>
      <w:r w:rsidR="00C53B79">
        <w:rPr>
          <w:rFonts w:ascii="Arial" w:hAnsi="Arial" w:cs="Arial"/>
          <w:sz w:val="20"/>
          <w:szCs w:val="20"/>
        </w:rPr>
        <w:t xml:space="preserve"> </w:t>
      </w:r>
      <w:r w:rsidR="00382059">
        <w:rPr>
          <w:rFonts w:ascii="Arial" w:hAnsi="Arial" w:cs="Arial"/>
          <w:sz w:val="20"/>
          <w:szCs w:val="20"/>
        </w:rPr>
        <w:t xml:space="preserve">χιλιάδες </w:t>
      </w:r>
      <w:r w:rsidR="00C53B79">
        <w:rPr>
          <w:rFonts w:ascii="Arial" w:hAnsi="Arial" w:cs="Arial"/>
          <w:sz w:val="20"/>
          <w:szCs w:val="20"/>
        </w:rPr>
        <w:t>τόνους/έτος</w:t>
      </w:r>
      <w:r w:rsidR="00C53B79" w:rsidRPr="00943D58">
        <w:rPr>
          <w:rFonts w:ascii="Arial" w:hAnsi="Arial" w:cs="Arial"/>
          <w:sz w:val="20"/>
          <w:szCs w:val="20"/>
        </w:rPr>
        <w:t xml:space="preserve"> </w:t>
      </w:r>
      <w:r w:rsidR="00475A12" w:rsidRPr="006C72E6">
        <w:rPr>
          <w:rFonts w:ascii="Arial" w:hAnsi="Arial" w:cs="Arial"/>
          <w:sz w:val="20"/>
          <w:szCs w:val="20"/>
        </w:rPr>
        <w:t>και τη</w:t>
      </w:r>
      <w:r w:rsidR="00C53B79">
        <w:rPr>
          <w:rFonts w:ascii="Arial" w:hAnsi="Arial" w:cs="Arial"/>
          <w:sz w:val="20"/>
          <w:szCs w:val="20"/>
        </w:rPr>
        <w:t>ς</w:t>
      </w:r>
      <w:r w:rsidR="00475A12">
        <w:rPr>
          <w:rFonts w:ascii="Arial" w:hAnsi="Arial" w:cs="Arial"/>
          <w:sz w:val="20"/>
          <w:szCs w:val="20"/>
        </w:rPr>
        <w:t xml:space="preserve"> </w:t>
      </w:r>
      <w:r w:rsidR="1A8E8D56" w:rsidRPr="25D987CB">
        <w:rPr>
          <w:rFonts w:ascii="Arial" w:hAnsi="Arial" w:cs="Arial"/>
          <w:sz w:val="20"/>
          <w:szCs w:val="20"/>
        </w:rPr>
        <w:t xml:space="preserve">έκτακτης </w:t>
      </w:r>
      <w:r w:rsidR="00475A12" w:rsidRPr="006C72E6">
        <w:rPr>
          <w:rFonts w:ascii="Arial" w:hAnsi="Arial" w:cs="Arial"/>
          <w:sz w:val="20"/>
          <w:szCs w:val="20"/>
        </w:rPr>
        <w:t>συντήρηση</w:t>
      </w:r>
      <w:r w:rsidR="00C53B79">
        <w:rPr>
          <w:rFonts w:ascii="Arial" w:hAnsi="Arial" w:cs="Arial"/>
          <w:sz w:val="20"/>
          <w:szCs w:val="20"/>
        </w:rPr>
        <w:t>ς</w:t>
      </w:r>
      <w:r w:rsidR="00475A12" w:rsidRPr="006C72E6">
        <w:rPr>
          <w:rFonts w:ascii="Arial" w:hAnsi="Arial" w:cs="Arial"/>
          <w:sz w:val="20"/>
          <w:szCs w:val="20"/>
        </w:rPr>
        <w:t xml:space="preserve"> των φίλτρων συμπυκνώματος χρυσού. </w:t>
      </w:r>
    </w:p>
    <w:p w14:paraId="5AF73FC5" w14:textId="77777777" w:rsidR="006B0E05" w:rsidRPr="006C72E6" w:rsidRDefault="006B0E05" w:rsidP="006B0E05">
      <w:pPr>
        <w:jc w:val="both"/>
        <w:rPr>
          <w:rFonts w:ascii="Arial" w:hAnsi="Arial" w:cs="Arial"/>
          <w:sz w:val="20"/>
          <w:szCs w:val="22"/>
        </w:rPr>
      </w:pPr>
    </w:p>
    <w:p w14:paraId="5A564447" w14:textId="6B3E4289" w:rsidR="006B0E05" w:rsidRPr="006C72E6" w:rsidRDefault="006B0E05" w:rsidP="00FF0CB6">
      <w:pPr>
        <w:jc w:val="both"/>
        <w:rPr>
          <w:rFonts w:ascii="Arial" w:hAnsi="Arial" w:cs="Arial"/>
          <w:sz w:val="20"/>
          <w:szCs w:val="20"/>
        </w:rPr>
      </w:pPr>
      <w:r w:rsidRPr="25D987CB">
        <w:rPr>
          <w:rFonts w:ascii="Arial" w:hAnsi="Arial" w:cs="Arial"/>
          <w:sz w:val="20"/>
          <w:szCs w:val="20"/>
        </w:rPr>
        <w:t xml:space="preserve">Το συνολικό κόστος </w:t>
      </w:r>
      <w:r w:rsidR="003817E4" w:rsidRPr="25D987CB">
        <w:rPr>
          <w:rFonts w:ascii="Arial" w:hAnsi="Arial" w:cs="Arial"/>
          <w:sz w:val="20"/>
          <w:szCs w:val="20"/>
        </w:rPr>
        <w:t xml:space="preserve">σε μετρητά </w:t>
      </w:r>
      <w:r w:rsidRPr="25D987CB">
        <w:rPr>
          <w:rFonts w:ascii="Arial" w:hAnsi="Arial" w:cs="Arial"/>
          <w:sz w:val="20"/>
          <w:szCs w:val="20"/>
        </w:rPr>
        <w:t xml:space="preserve">και το συνολικό </w:t>
      </w:r>
      <w:r w:rsidR="003817E4" w:rsidRPr="25D987CB">
        <w:rPr>
          <w:rFonts w:ascii="Arial" w:hAnsi="Arial" w:cs="Arial"/>
          <w:sz w:val="20"/>
          <w:szCs w:val="20"/>
        </w:rPr>
        <w:t xml:space="preserve">κόστος </w:t>
      </w:r>
      <w:r w:rsidR="417736FB" w:rsidRPr="5725EC62">
        <w:rPr>
          <w:rFonts w:ascii="Arial" w:hAnsi="Arial" w:cs="Arial"/>
          <w:sz w:val="20"/>
          <w:szCs w:val="20"/>
        </w:rPr>
        <w:t xml:space="preserve">διατήρησης </w:t>
      </w:r>
      <w:r w:rsidR="005C2084" w:rsidRPr="25D987CB">
        <w:rPr>
          <w:rFonts w:ascii="Arial" w:hAnsi="Arial" w:cs="Arial"/>
          <w:sz w:val="20"/>
          <w:szCs w:val="20"/>
        </w:rPr>
        <w:t xml:space="preserve">(AISC) </w:t>
      </w:r>
      <w:r w:rsidRPr="25D987CB">
        <w:rPr>
          <w:rFonts w:ascii="Arial" w:hAnsi="Arial" w:cs="Arial"/>
          <w:sz w:val="20"/>
          <w:szCs w:val="20"/>
        </w:rPr>
        <w:t xml:space="preserve">ανά </w:t>
      </w:r>
      <w:r w:rsidR="003817E4" w:rsidRPr="25D987CB">
        <w:rPr>
          <w:rFonts w:ascii="Arial" w:hAnsi="Arial" w:cs="Arial"/>
          <w:sz w:val="20"/>
          <w:szCs w:val="20"/>
        </w:rPr>
        <w:t xml:space="preserve">πωληθείσα </w:t>
      </w:r>
      <w:r w:rsidRPr="25D987CB">
        <w:rPr>
          <w:rFonts w:ascii="Arial" w:hAnsi="Arial" w:cs="Arial"/>
          <w:sz w:val="20"/>
          <w:szCs w:val="20"/>
        </w:rPr>
        <w:t xml:space="preserve">ουγγιά αναμένεται να επηρεαστούν θετικά από τις αυξημένες πωλήσεις </w:t>
      </w:r>
      <w:r w:rsidR="672CB087" w:rsidRPr="25D987CB">
        <w:rPr>
          <w:rFonts w:ascii="Arial" w:hAnsi="Arial" w:cs="Arial"/>
          <w:sz w:val="20"/>
          <w:szCs w:val="20"/>
        </w:rPr>
        <w:t>παραπροϊόντων</w:t>
      </w:r>
      <w:r w:rsidR="00A475C4" w:rsidRPr="25D987CB">
        <w:rPr>
          <w:rFonts w:ascii="Arial" w:hAnsi="Arial" w:cs="Arial"/>
          <w:sz w:val="20"/>
          <w:szCs w:val="20"/>
        </w:rPr>
        <w:t xml:space="preserve"> (βασικά μέταλλα)</w:t>
      </w:r>
      <w:r w:rsidRPr="25D987CB">
        <w:rPr>
          <w:rFonts w:ascii="Arial" w:hAnsi="Arial" w:cs="Arial"/>
          <w:sz w:val="20"/>
          <w:szCs w:val="20"/>
        </w:rPr>
        <w:t xml:space="preserve"> που αντισταθμίζονται εν μέρει από </w:t>
      </w:r>
      <w:r w:rsidR="0024284A" w:rsidRPr="006C72E6">
        <w:rPr>
          <w:rFonts w:ascii="Arial" w:hAnsi="Arial" w:cs="Arial"/>
          <w:sz w:val="20"/>
          <w:szCs w:val="20"/>
        </w:rPr>
        <w:t xml:space="preserve">αυξημένα </w:t>
      </w:r>
      <w:r w:rsidR="00C1226B">
        <w:rPr>
          <w:rFonts w:ascii="Arial" w:hAnsi="Arial" w:cs="Arial"/>
          <w:sz w:val="20"/>
          <w:szCs w:val="20"/>
        </w:rPr>
        <w:t>μεταλλευτικά</w:t>
      </w:r>
      <w:r w:rsidR="00AE5743">
        <w:rPr>
          <w:rFonts w:ascii="Arial" w:hAnsi="Arial" w:cs="Arial"/>
          <w:sz w:val="20"/>
          <w:szCs w:val="20"/>
        </w:rPr>
        <w:t xml:space="preserve"> </w:t>
      </w:r>
      <w:r w:rsidR="0024284A" w:rsidRPr="006C72E6">
        <w:rPr>
          <w:rFonts w:ascii="Arial" w:hAnsi="Arial" w:cs="Arial"/>
          <w:sz w:val="20"/>
          <w:szCs w:val="20"/>
        </w:rPr>
        <w:t>δικαιώματα λόγω της αναμενόμενης συνέχισης των υψηλών τιμών χρυσού</w:t>
      </w:r>
      <w:r w:rsidR="00FF0CB6" w:rsidRPr="25D987CB">
        <w:rPr>
          <w:rFonts w:ascii="Arial" w:hAnsi="Arial" w:cs="Arial"/>
          <w:sz w:val="20"/>
          <w:szCs w:val="20"/>
        </w:rPr>
        <w:t xml:space="preserve">. </w:t>
      </w:r>
      <w:r w:rsidR="00DC2D49" w:rsidRPr="25D987CB">
        <w:rPr>
          <w:rFonts w:ascii="Arial" w:hAnsi="Arial" w:cs="Arial"/>
          <w:sz w:val="20"/>
          <w:szCs w:val="20"/>
        </w:rPr>
        <w:t>Η σ</w:t>
      </w:r>
      <w:r w:rsidR="00FF0CB6" w:rsidRPr="25D987CB">
        <w:rPr>
          <w:rFonts w:ascii="Arial" w:hAnsi="Arial" w:cs="Arial"/>
          <w:sz w:val="20"/>
          <w:szCs w:val="20"/>
        </w:rPr>
        <w:t xml:space="preserve">υνεχιζόμενη μεταβλητότητα από τρίμηνο σε τρίμηνο στο </w:t>
      </w:r>
      <w:r w:rsidR="005C2084" w:rsidRPr="25D987CB">
        <w:rPr>
          <w:rFonts w:ascii="Arial" w:hAnsi="Arial" w:cs="Arial"/>
          <w:sz w:val="20"/>
          <w:szCs w:val="20"/>
        </w:rPr>
        <w:t xml:space="preserve">συνολικό κόστος </w:t>
      </w:r>
      <w:r w:rsidR="3B1CD0A4" w:rsidRPr="3CD07036">
        <w:rPr>
          <w:rFonts w:ascii="Arial" w:hAnsi="Arial" w:cs="Arial"/>
          <w:sz w:val="20"/>
          <w:szCs w:val="20"/>
        </w:rPr>
        <w:t>διατήρησης</w:t>
      </w:r>
      <w:r w:rsidR="005C2084" w:rsidRPr="07175836">
        <w:rPr>
          <w:rFonts w:ascii="Arial" w:hAnsi="Arial" w:cs="Arial"/>
          <w:sz w:val="20"/>
          <w:szCs w:val="20"/>
        </w:rPr>
        <w:t xml:space="preserve"> </w:t>
      </w:r>
      <w:r w:rsidR="005C2084" w:rsidRPr="25D987CB">
        <w:rPr>
          <w:rFonts w:ascii="Arial" w:hAnsi="Arial" w:cs="Arial"/>
          <w:sz w:val="20"/>
          <w:szCs w:val="20"/>
        </w:rPr>
        <w:t>(</w:t>
      </w:r>
      <w:r w:rsidR="00FF0CB6" w:rsidRPr="25D987CB">
        <w:rPr>
          <w:rFonts w:ascii="Arial" w:hAnsi="Arial" w:cs="Arial"/>
          <w:sz w:val="20"/>
          <w:szCs w:val="20"/>
        </w:rPr>
        <w:t>AISC</w:t>
      </w:r>
      <w:r w:rsidR="005C2084" w:rsidRPr="25D987CB">
        <w:rPr>
          <w:rFonts w:ascii="Arial" w:hAnsi="Arial" w:cs="Arial"/>
          <w:sz w:val="20"/>
          <w:szCs w:val="20"/>
        </w:rPr>
        <w:t>)</w:t>
      </w:r>
      <w:r w:rsidR="00FF0CB6" w:rsidRPr="25D987CB">
        <w:rPr>
          <w:rFonts w:ascii="Arial" w:hAnsi="Arial" w:cs="Arial"/>
          <w:sz w:val="20"/>
          <w:szCs w:val="20"/>
        </w:rPr>
        <w:t xml:space="preserve"> και </w:t>
      </w:r>
      <w:r w:rsidR="005C2084" w:rsidRPr="25D987CB">
        <w:rPr>
          <w:rFonts w:ascii="Arial" w:hAnsi="Arial" w:cs="Arial"/>
          <w:sz w:val="20"/>
          <w:szCs w:val="20"/>
        </w:rPr>
        <w:t>σ</w:t>
      </w:r>
      <w:r w:rsidR="00FF0CB6" w:rsidRPr="25D987CB">
        <w:rPr>
          <w:rFonts w:ascii="Arial" w:hAnsi="Arial" w:cs="Arial"/>
          <w:sz w:val="20"/>
          <w:szCs w:val="20"/>
        </w:rPr>
        <w:t xml:space="preserve">το συνολικό κόστος </w:t>
      </w:r>
      <w:r w:rsidR="005C2084" w:rsidRPr="25D987CB">
        <w:rPr>
          <w:rFonts w:ascii="Arial" w:hAnsi="Arial" w:cs="Arial"/>
          <w:sz w:val="20"/>
          <w:szCs w:val="20"/>
        </w:rPr>
        <w:t xml:space="preserve">σε μετρητά </w:t>
      </w:r>
      <w:r w:rsidR="00AC7AB2" w:rsidRPr="25D987CB">
        <w:rPr>
          <w:rFonts w:ascii="Arial" w:hAnsi="Arial" w:cs="Arial"/>
          <w:sz w:val="20"/>
          <w:szCs w:val="20"/>
        </w:rPr>
        <w:t>επηρεάζεται από τα έσοδα από</w:t>
      </w:r>
      <w:r w:rsidR="00FF0CB6" w:rsidRPr="25D987CB">
        <w:rPr>
          <w:rFonts w:ascii="Arial" w:hAnsi="Arial" w:cs="Arial"/>
          <w:sz w:val="20"/>
          <w:szCs w:val="20"/>
        </w:rPr>
        <w:t xml:space="preserve"> </w:t>
      </w:r>
      <w:r w:rsidR="0070235D" w:rsidRPr="25D987CB">
        <w:rPr>
          <w:rFonts w:ascii="Arial" w:hAnsi="Arial" w:cs="Arial"/>
          <w:sz w:val="20"/>
          <w:szCs w:val="20"/>
        </w:rPr>
        <w:t>παρα</w:t>
      </w:r>
      <w:r w:rsidR="00FF0CB6" w:rsidRPr="25D987CB">
        <w:rPr>
          <w:rFonts w:ascii="Arial" w:hAnsi="Arial" w:cs="Arial"/>
          <w:sz w:val="20"/>
          <w:szCs w:val="20"/>
        </w:rPr>
        <w:t>προϊόντ</w:t>
      </w:r>
      <w:r w:rsidR="00DE5996" w:rsidRPr="25D987CB">
        <w:rPr>
          <w:rFonts w:ascii="Arial" w:hAnsi="Arial" w:cs="Arial"/>
          <w:sz w:val="20"/>
          <w:szCs w:val="20"/>
        </w:rPr>
        <w:t>α</w:t>
      </w:r>
      <w:r w:rsidR="00FF0CB6" w:rsidRPr="25D987CB">
        <w:rPr>
          <w:rFonts w:ascii="Arial" w:hAnsi="Arial" w:cs="Arial"/>
          <w:sz w:val="20"/>
          <w:szCs w:val="20"/>
        </w:rPr>
        <w:t xml:space="preserve"> </w:t>
      </w:r>
      <w:r w:rsidR="00334520" w:rsidRPr="25D987CB">
        <w:rPr>
          <w:rFonts w:ascii="Arial" w:hAnsi="Arial" w:cs="Arial"/>
          <w:sz w:val="20"/>
          <w:szCs w:val="20"/>
        </w:rPr>
        <w:t>με βάση</w:t>
      </w:r>
      <w:r w:rsidR="00FF0CB6" w:rsidRPr="25D987CB">
        <w:rPr>
          <w:rFonts w:ascii="Arial" w:hAnsi="Arial" w:cs="Arial"/>
          <w:sz w:val="20"/>
          <w:szCs w:val="20"/>
        </w:rPr>
        <w:t xml:space="preserve"> το χρονοδιάγραμμα των </w:t>
      </w:r>
      <w:r w:rsidR="00943495" w:rsidRPr="25D987CB">
        <w:rPr>
          <w:rFonts w:ascii="Arial" w:hAnsi="Arial" w:cs="Arial"/>
          <w:sz w:val="20"/>
          <w:szCs w:val="20"/>
        </w:rPr>
        <w:t>φορτώσεων των</w:t>
      </w:r>
      <w:r w:rsidR="00FF0CB6" w:rsidRPr="25D987CB">
        <w:rPr>
          <w:rFonts w:ascii="Arial" w:hAnsi="Arial" w:cs="Arial"/>
          <w:sz w:val="20"/>
          <w:szCs w:val="20"/>
        </w:rPr>
        <w:t xml:space="preserve"> συμπυκνωμάτων. </w:t>
      </w:r>
    </w:p>
    <w:p w14:paraId="3A863E38" w14:textId="77777777" w:rsidR="006B0E05" w:rsidRPr="006C72E6" w:rsidRDefault="006B0E05" w:rsidP="006B0E05">
      <w:pPr>
        <w:jc w:val="both"/>
        <w:rPr>
          <w:rFonts w:ascii="Arial" w:hAnsi="Arial" w:cs="Arial"/>
          <w:sz w:val="20"/>
          <w:szCs w:val="22"/>
        </w:rPr>
      </w:pPr>
    </w:p>
    <w:p w14:paraId="4B0DCFCC" w14:textId="514D42FE" w:rsidR="006B0E05" w:rsidRPr="006C72E6" w:rsidRDefault="006B0E05" w:rsidP="006B0E05">
      <w:pPr>
        <w:jc w:val="both"/>
        <w:rPr>
          <w:rFonts w:ascii="Arial" w:hAnsi="Arial" w:cs="Arial"/>
          <w:sz w:val="20"/>
          <w:szCs w:val="20"/>
        </w:rPr>
      </w:pPr>
      <w:r w:rsidRPr="5E04D9F2">
        <w:rPr>
          <w:rFonts w:ascii="Arial" w:hAnsi="Arial" w:cs="Arial"/>
          <w:sz w:val="20"/>
          <w:szCs w:val="20"/>
        </w:rPr>
        <w:t xml:space="preserve">Οι προγραμματισμένες κεφαλαιουχικές δαπάνες για το 2025 μεταξύ 20 και 25 εκατομμυρίων δολαρίων περιλαμβάνουν την ανάπτυξη </w:t>
      </w:r>
      <w:r w:rsidR="00B605A1" w:rsidRPr="5E04D9F2">
        <w:rPr>
          <w:rFonts w:ascii="Arial" w:hAnsi="Arial" w:cs="Arial"/>
          <w:sz w:val="20"/>
          <w:szCs w:val="20"/>
        </w:rPr>
        <w:t>του υπόγειου μεταλλείου</w:t>
      </w:r>
      <w:r w:rsidRPr="5E04D9F2">
        <w:rPr>
          <w:rFonts w:ascii="Arial" w:hAnsi="Arial" w:cs="Arial"/>
          <w:sz w:val="20"/>
          <w:szCs w:val="20"/>
        </w:rPr>
        <w:t xml:space="preserve"> και τη διαχείριση της εγκατάστασης </w:t>
      </w:r>
      <w:r w:rsidR="00B605A1" w:rsidRPr="5E04D9F2">
        <w:rPr>
          <w:rFonts w:ascii="Arial" w:hAnsi="Arial" w:cs="Arial"/>
          <w:sz w:val="20"/>
          <w:szCs w:val="20"/>
        </w:rPr>
        <w:t xml:space="preserve">ξηρής απόθεσης </w:t>
      </w:r>
      <w:r w:rsidR="689EF204" w:rsidRPr="0EF17F3D">
        <w:rPr>
          <w:rFonts w:ascii="Arial" w:hAnsi="Arial" w:cs="Arial"/>
          <w:sz w:val="20"/>
          <w:szCs w:val="20"/>
        </w:rPr>
        <w:t xml:space="preserve">εξορυκτικών </w:t>
      </w:r>
      <w:r w:rsidR="689EF204" w:rsidRPr="0CA78B37">
        <w:rPr>
          <w:rFonts w:ascii="Arial" w:hAnsi="Arial" w:cs="Arial"/>
          <w:sz w:val="20"/>
          <w:szCs w:val="20"/>
        </w:rPr>
        <w:t>αποβλήτων</w:t>
      </w:r>
      <w:r w:rsidRPr="0EF17F3D">
        <w:rPr>
          <w:rFonts w:ascii="Arial" w:hAnsi="Arial" w:cs="Arial"/>
          <w:sz w:val="20"/>
          <w:szCs w:val="20"/>
        </w:rPr>
        <w:t xml:space="preserve"> Κοκκινόλα</w:t>
      </w:r>
      <w:r w:rsidR="003F1F0E">
        <w:rPr>
          <w:rFonts w:ascii="Arial" w:hAnsi="Arial" w:cs="Arial"/>
          <w:sz w:val="20"/>
          <w:szCs w:val="20"/>
        </w:rPr>
        <w:t>κ</w:t>
      </w:r>
      <w:r w:rsidRPr="0EF17F3D">
        <w:rPr>
          <w:rFonts w:ascii="Arial" w:hAnsi="Arial" w:cs="Arial"/>
          <w:sz w:val="20"/>
          <w:szCs w:val="20"/>
        </w:rPr>
        <w:t>κα.</w:t>
      </w:r>
      <w:r w:rsidRPr="5E04D9F2">
        <w:rPr>
          <w:rFonts w:ascii="Arial" w:hAnsi="Arial" w:cs="Arial"/>
          <w:sz w:val="20"/>
          <w:szCs w:val="20"/>
        </w:rPr>
        <w:t xml:space="preserve"> Το προγραμματισμένο κεφάλαιο ανάπτυξης του 2025 ύψους 45 έως 50 εκατομμυρίων δολαρίων επικεντρώνεται κυρίως στην </w:t>
      </w:r>
      <w:r w:rsidR="00D523AA" w:rsidRPr="5E04D9F2">
        <w:rPr>
          <w:rFonts w:ascii="Arial" w:hAnsi="Arial" w:cs="Arial"/>
          <w:sz w:val="20"/>
          <w:szCs w:val="20"/>
        </w:rPr>
        <w:t>αύξηση δυναμικότητας</w:t>
      </w:r>
      <w:r w:rsidRPr="5E04D9F2">
        <w:rPr>
          <w:rFonts w:ascii="Arial" w:hAnsi="Arial" w:cs="Arial"/>
          <w:sz w:val="20"/>
          <w:szCs w:val="20"/>
        </w:rPr>
        <w:t xml:space="preserve"> του μύλου </w:t>
      </w:r>
      <w:r w:rsidR="00D523AA" w:rsidRPr="5E04D9F2">
        <w:rPr>
          <w:rFonts w:ascii="Arial" w:hAnsi="Arial" w:cs="Arial"/>
          <w:sz w:val="20"/>
          <w:szCs w:val="20"/>
        </w:rPr>
        <w:t>θραύσης σε</w:t>
      </w:r>
      <w:r w:rsidRPr="5E04D9F2">
        <w:rPr>
          <w:rFonts w:ascii="Arial" w:hAnsi="Arial" w:cs="Arial"/>
          <w:sz w:val="20"/>
          <w:szCs w:val="20"/>
        </w:rPr>
        <w:t xml:space="preserve"> 650 </w:t>
      </w:r>
      <w:r w:rsidR="00424DC9">
        <w:rPr>
          <w:rFonts w:ascii="Arial" w:hAnsi="Arial" w:cs="Arial"/>
          <w:sz w:val="20"/>
          <w:szCs w:val="20"/>
        </w:rPr>
        <w:t xml:space="preserve">χιλιάδες </w:t>
      </w:r>
      <w:r w:rsidR="00D523AA" w:rsidRPr="5E04D9F2">
        <w:rPr>
          <w:rFonts w:ascii="Arial" w:hAnsi="Arial" w:cs="Arial"/>
          <w:sz w:val="20"/>
          <w:szCs w:val="20"/>
        </w:rPr>
        <w:t>τόνους/έτος</w:t>
      </w:r>
      <w:r w:rsidRPr="5E04D9F2">
        <w:rPr>
          <w:rFonts w:ascii="Arial" w:hAnsi="Arial" w:cs="Arial"/>
          <w:sz w:val="20"/>
          <w:szCs w:val="20"/>
        </w:rPr>
        <w:t xml:space="preserve">, της κεφαλαιοποιημένης ανάπτυξης και ενός προγράμματος γεώτρησης μετατροπής πόρων. </w:t>
      </w:r>
    </w:p>
    <w:p w14:paraId="6BE99CB3" w14:textId="77777777" w:rsidR="006B0E05" w:rsidRDefault="006B0E05" w:rsidP="006B0E05">
      <w:pPr>
        <w:jc w:val="both"/>
        <w:rPr>
          <w:rFonts w:ascii="Arial" w:hAnsi="Arial" w:cs="Arial"/>
          <w:sz w:val="20"/>
          <w:szCs w:val="22"/>
        </w:rPr>
      </w:pPr>
    </w:p>
    <w:p w14:paraId="775EC928" w14:textId="77777777" w:rsidR="00AE2FF6" w:rsidRPr="006C72E6" w:rsidRDefault="00AE2FF6" w:rsidP="006B0E05">
      <w:pPr>
        <w:jc w:val="both"/>
        <w:rPr>
          <w:rFonts w:ascii="Arial" w:hAnsi="Arial" w:cs="Arial"/>
          <w:sz w:val="20"/>
          <w:szCs w:val="22"/>
        </w:rPr>
      </w:pPr>
    </w:p>
    <w:p w14:paraId="0336B609" w14:textId="77777777" w:rsidR="001D1375" w:rsidRPr="006C72E6" w:rsidRDefault="001D1375">
      <w:pPr>
        <w:spacing w:line="288" w:lineRule="auto"/>
        <w:jc w:val="both"/>
        <w:rPr>
          <w:rFonts w:ascii="Arial" w:eastAsia="Arial" w:hAnsi="Arial" w:cs="Arial"/>
          <w:sz w:val="20"/>
          <w:szCs w:val="20"/>
        </w:rPr>
      </w:pPr>
    </w:p>
    <w:p w14:paraId="629A9BD1" w14:textId="77777777" w:rsidR="00EF57A6" w:rsidRPr="006C72E6" w:rsidRDefault="00EF57A6" w:rsidP="00EF57A6">
      <w:pPr>
        <w:jc w:val="both"/>
        <w:rPr>
          <w:rFonts w:ascii="Arial" w:hAnsi="Arial" w:cs="Arial"/>
          <w:b/>
          <w:bCs/>
          <w:sz w:val="22"/>
          <w:szCs w:val="22"/>
        </w:rPr>
      </w:pPr>
      <w:r w:rsidRPr="006C72E6">
        <w:rPr>
          <w:rFonts w:ascii="Arial" w:hAnsi="Arial" w:cs="Arial"/>
          <w:b/>
          <w:bCs/>
          <w:sz w:val="22"/>
          <w:szCs w:val="22"/>
        </w:rPr>
        <w:t xml:space="preserve">Επισκόπηση τριετούς προοπτικής: </w:t>
      </w:r>
    </w:p>
    <w:p w14:paraId="17FCB5B9" w14:textId="7747486C" w:rsidR="00567DFF" w:rsidRPr="006C72E6" w:rsidRDefault="00567DFF" w:rsidP="00567DFF">
      <w:pPr>
        <w:pStyle w:val="ListParagraph"/>
        <w:numPr>
          <w:ilvl w:val="0"/>
          <w:numId w:val="24"/>
        </w:numPr>
        <w:jc w:val="both"/>
        <w:rPr>
          <w:rFonts w:ascii="Arial" w:hAnsi="Arial" w:cs="Arial"/>
          <w:sz w:val="20"/>
          <w:szCs w:val="20"/>
        </w:rPr>
      </w:pPr>
      <w:r w:rsidRPr="006C72E6">
        <w:rPr>
          <w:rFonts w:ascii="Arial" w:hAnsi="Arial" w:cs="Arial"/>
          <w:sz w:val="20"/>
          <w:szCs w:val="20"/>
        </w:rPr>
        <w:t xml:space="preserve">Παραγωγή χρυσού μεταξύ 660.000 και 720.000 ουγγιών έως το 2027, με </w:t>
      </w:r>
      <w:r w:rsidR="003164A2">
        <w:rPr>
          <w:rFonts w:ascii="Arial" w:hAnsi="Arial" w:cs="Arial"/>
          <w:sz w:val="20"/>
          <w:szCs w:val="20"/>
        </w:rPr>
        <w:t>ανάπτυξη</w:t>
      </w:r>
      <w:r w:rsidRPr="006C72E6">
        <w:rPr>
          <w:rFonts w:ascii="Arial" w:hAnsi="Arial" w:cs="Arial"/>
          <w:sz w:val="20"/>
          <w:szCs w:val="20"/>
        </w:rPr>
        <w:t xml:space="preserve"> 33% κατά την τριετή περίοδο σε σύγκριση με την παραγωγή του 2024. </w:t>
      </w:r>
    </w:p>
    <w:p w14:paraId="2D2C3F0A" w14:textId="42B150EE" w:rsidR="00567DFF" w:rsidRPr="006C72E6" w:rsidRDefault="003164A2" w:rsidP="00567DFF">
      <w:pPr>
        <w:pStyle w:val="ListParagraph"/>
        <w:numPr>
          <w:ilvl w:val="1"/>
          <w:numId w:val="24"/>
        </w:numPr>
        <w:jc w:val="both"/>
        <w:rPr>
          <w:rFonts w:ascii="Arial" w:hAnsi="Arial" w:cs="Arial"/>
          <w:sz w:val="20"/>
          <w:szCs w:val="20"/>
        </w:rPr>
      </w:pPr>
      <w:r>
        <w:rPr>
          <w:rFonts w:ascii="Arial" w:hAnsi="Arial" w:cs="Arial"/>
          <w:sz w:val="20"/>
          <w:szCs w:val="20"/>
        </w:rPr>
        <w:t>Απρόσκοπτη</w:t>
      </w:r>
      <w:r w:rsidR="00245BDE" w:rsidRPr="006C72E6">
        <w:rPr>
          <w:rFonts w:ascii="Arial" w:hAnsi="Arial" w:cs="Arial"/>
          <w:sz w:val="20"/>
          <w:szCs w:val="20"/>
        </w:rPr>
        <w:t xml:space="preserve"> παραγωγή από ισχυρά</w:t>
      </w:r>
      <w:r w:rsidR="007B607C">
        <w:rPr>
          <w:rFonts w:ascii="Arial" w:hAnsi="Arial" w:cs="Arial"/>
          <w:sz w:val="20"/>
          <w:szCs w:val="20"/>
        </w:rPr>
        <w:t xml:space="preserve">, μακροχρόνια </w:t>
      </w:r>
      <w:r>
        <w:rPr>
          <w:rFonts w:ascii="Arial" w:hAnsi="Arial" w:cs="Arial"/>
          <w:sz w:val="20"/>
          <w:szCs w:val="20"/>
        </w:rPr>
        <w:t>μεταλλευτικά έργα</w:t>
      </w:r>
    </w:p>
    <w:p w14:paraId="6BD2B374" w14:textId="5D0620FD" w:rsidR="00D72F0C" w:rsidRPr="006C72E6" w:rsidRDefault="0088150F" w:rsidP="00D72F0C">
      <w:pPr>
        <w:pStyle w:val="ListParagraph"/>
        <w:numPr>
          <w:ilvl w:val="1"/>
          <w:numId w:val="24"/>
        </w:numPr>
        <w:jc w:val="both"/>
        <w:rPr>
          <w:rFonts w:ascii="Arial" w:hAnsi="Arial" w:cs="Arial"/>
          <w:sz w:val="20"/>
          <w:szCs w:val="20"/>
        </w:rPr>
      </w:pPr>
      <w:r>
        <w:rPr>
          <w:rFonts w:ascii="Arial" w:hAnsi="Arial" w:cs="Arial"/>
          <w:sz w:val="20"/>
          <w:szCs w:val="20"/>
        </w:rPr>
        <w:t>Υπεύθυνη α</w:t>
      </w:r>
      <w:r w:rsidR="007B607C">
        <w:rPr>
          <w:rFonts w:ascii="Arial" w:hAnsi="Arial" w:cs="Arial"/>
          <w:sz w:val="20"/>
          <w:szCs w:val="20"/>
        </w:rPr>
        <w:t>ξιοποίηση</w:t>
      </w:r>
      <w:r w:rsidR="00D72F0C" w:rsidRPr="006C72E6">
        <w:rPr>
          <w:rFonts w:ascii="Arial" w:hAnsi="Arial" w:cs="Arial"/>
          <w:sz w:val="20"/>
          <w:szCs w:val="20"/>
        </w:rPr>
        <w:t xml:space="preserve"> </w:t>
      </w:r>
      <w:r>
        <w:rPr>
          <w:rFonts w:ascii="Arial" w:hAnsi="Arial" w:cs="Arial"/>
          <w:sz w:val="20"/>
          <w:szCs w:val="20"/>
        </w:rPr>
        <w:t>του ορυκτού πλούτου σε όλα τα μεταλλευτικά έργα</w:t>
      </w:r>
      <w:r w:rsidR="00D72F0C" w:rsidRPr="006C72E6">
        <w:rPr>
          <w:rFonts w:ascii="Arial" w:hAnsi="Arial" w:cs="Arial"/>
          <w:sz w:val="20"/>
          <w:szCs w:val="20"/>
        </w:rPr>
        <w:t xml:space="preserve"> μέσω επέκτασης και ανάπτυξης.</w:t>
      </w:r>
    </w:p>
    <w:p w14:paraId="136612CA" w14:textId="00E9EAFD" w:rsidR="00567DFF" w:rsidRPr="006C72E6" w:rsidRDefault="00B33D71" w:rsidP="00567DFF">
      <w:pPr>
        <w:pStyle w:val="ListParagraph"/>
        <w:numPr>
          <w:ilvl w:val="1"/>
          <w:numId w:val="24"/>
        </w:numPr>
        <w:jc w:val="both"/>
        <w:rPr>
          <w:rFonts w:ascii="Arial" w:hAnsi="Arial" w:cs="Arial"/>
          <w:sz w:val="20"/>
          <w:szCs w:val="20"/>
        </w:rPr>
      </w:pPr>
      <w:r w:rsidRPr="006C72E6">
        <w:rPr>
          <w:rFonts w:ascii="Arial" w:hAnsi="Arial" w:cs="Arial"/>
          <w:sz w:val="20"/>
          <w:szCs w:val="20"/>
        </w:rPr>
        <w:t>Εμπορική παραγωγή στις Σκουριές στα μέσα του 2026.</w:t>
      </w:r>
    </w:p>
    <w:p w14:paraId="30F84D1F" w14:textId="6E09F97B" w:rsidR="00482F64" w:rsidRPr="006C72E6" w:rsidRDefault="00482F64" w:rsidP="00B622FF">
      <w:pPr>
        <w:pStyle w:val="ListParagraph"/>
        <w:numPr>
          <w:ilvl w:val="1"/>
          <w:numId w:val="24"/>
        </w:numPr>
        <w:jc w:val="both"/>
        <w:rPr>
          <w:rFonts w:ascii="Arial" w:hAnsi="Arial" w:cs="Arial"/>
          <w:sz w:val="20"/>
          <w:szCs w:val="20"/>
        </w:rPr>
      </w:pPr>
      <w:r w:rsidRPr="006C72E6">
        <w:rPr>
          <w:rFonts w:ascii="Arial" w:hAnsi="Arial" w:cs="Arial"/>
          <w:sz w:val="20"/>
          <w:szCs w:val="20"/>
        </w:rPr>
        <w:t xml:space="preserve">Προσθήκη χαλκού, ενός κρίσιμου </w:t>
      </w:r>
      <w:r w:rsidR="00600E4F">
        <w:rPr>
          <w:rFonts w:ascii="Arial" w:hAnsi="Arial" w:cs="Arial"/>
          <w:sz w:val="20"/>
          <w:szCs w:val="20"/>
        </w:rPr>
        <w:t>μετάλλου</w:t>
      </w:r>
      <w:r w:rsidRPr="006C72E6">
        <w:rPr>
          <w:rFonts w:ascii="Arial" w:hAnsi="Arial" w:cs="Arial"/>
          <w:sz w:val="20"/>
          <w:szCs w:val="20"/>
        </w:rPr>
        <w:t xml:space="preserve"> στο χαρτοφυλάκιο.</w:t>
      </w:r>
    </w:p>
    <w:p w14:paraId="424FCA7D" w14:textId="460936EE" w:rsidR="00EF57A6" w:rsidRPr="006C72E6" w:rsidRDefault="00C84244" w:rsidP="00AF21B1">
      <w:pPr>
        <w:pStyle w:val="ListParagraph"/>
        <w:numPr>
          <w:ilvl w:val="0"/>
          <w:numId w:val="17"/>
        </w:numPr>
        <w:ind w:left="792"/>
        <w:contextualSpacing w:val="0"/>
        <w:jc w:val="both"/>
        <w:rPr>
          <w:rFonts w:ascii="Arial" w:hAnsi="Arial" w:cs="Arial"/>
          <w:sz w:val="20"/>
          <w:szCs w:val="20"/>
        </w:rPr>
      </w:pPr>
      <w:bookmarkStart w:id="5" w:name="_Hlk125719220"/>
      <w:r>
        <w:rPr>
          <w:rFonts w:ascii="Arial" w:hAnsi="Arial" w:cs="Arial"/>
          <w:sz w:val="20"/>
          <w:szCs w:val="20"/>
        </w:rPr>
        <w:t>Σταθερή εστίαση</w:t>
      </w:r>
      <w:r w:rsidR="00EF57A6" w:rsidRPr="006C72E6">
        <w:rPr>
          <w:rFonts w:ascii="Arial" w:hAnsi="Arial" w:cs="Arial"/>
          <w:sz w:val="20"/>
          <w:szCs w:val="20"/>
        </w:rPr>
        <w:t xml:space="preserve"> </w:t>
      </w:r>
      <w:r>
        <w:rPr>
          <w:rFonts w:ascii="Arial" w:hAnsi="Arial" w:cs="Arial"/>
          <w:sz w:val="20"/>
          <w:szCs w:val="20"/>
        </w:rPr>
        <w:t>στην</w:t>
      </w:r>
      <w:r w:rsidR="00EF57A6" w:rsidRPr="006C72E6">
        <w:rPr>
          <w:rFonts w:ascii="Arial" w:hAnsi="Arial" w:cs="Arial"/>
          <w:sz w:val="20"/>
          <w:szCs w:val="20"/>
        </w:rPr>
        <w:t xml:space="preserve"> </w:t>
      </w:r>
      <w:r w:rsidR="00600E4F">
        <w:rPr>
          <w:rFonts w:ascii="Arial" w:hAnsi="Arial" w:cs="Arial"/>
          <w:sz w:val="20"/>
          <w:szCs w:val="20"/>
        </w:rPr>
        <w:t>έρευνα</w:t>
      </w:r>
      <w:r>
        <w:rPr>
          <w:rFonts w:ascii="Arial" w:hAnsi="Arial" w:cs="Arial"/>
          <w:sz w:val="20"/>
          <w:szCs w:val="20"/>
        </w:rPr>
        <w:t>,</w:t>
      </w:r>
      <w:r w:rsidR="00600E4F">
        <w:rPr>
          <w:rFonts w:ascii="Arial" w:hAnsi="Arial" w:cs="Arial"/>
          <w:sz w:val="20"/>
          <w:szCs w:val="20"/>
        </w:rPr>
        <w:t xml:space="preserve"> που </w:t>
      </w:r>
      <w:r w:rsidR="006153B0">
        <w:rPr>
          <w:rFonts w:ascii="Arial" w:hAnsi="Arial" w:cs="Arial"/>
          <w:sz w:val="20"/>
          <w:szCs w:val="20"/>
        </w:rPr>
        <w:t>θα</w:t>
      </w:r>
      <w:r w:rsidR="00EF57A6" w:rsidRPr="006C72E6">
        <w:rPr>
          <w:rFonts w:ascii="Arial" w:hAnsi="Arial" w:cs="Arial"/>
          <w:sz w:val="20"/>
          <w:szCs w:val="20"/>
        </w:rPr>
        <w:t xml:space="preserve"> ξεκλειδώσει τις εξαιρετικές δυνατότητες </w:t>
      </w:r>
      <w:r w:rsidR="006153B0">
        <w:rPr>
          <w:rFonts w:ascii="Arial" w:hAnsi="Arial" w:cs="Arial"/>
          <w:sz w:val="20"/>
          <w:szCs w:val="20"/>
        </w:rPr>
        <w:t xml:space="preserve">των μεταλλευτικών έργων </w:t>
      </w:r>
      <w:r w:rsidR="00EF57A6" w:rsidRPr="006C72E6">
        <w:rPr>
          <w:rFonts w:ascii="Arial" w:hAnsi="Arial" w:cs="Arial"/>
          <w:sz w:val="20"/>
          <w:szCs w:val="20"/>
        </w:rPr>
        <w:t xml:space="preserve">της Εταιρείας και </w:t>
      </w:r>
      <w:r w:rsidR="00FD5241">
        <w:rPr>
          <w:rFonts w:ascii="Arial" w:hAnsi="Arial" w:cs="Arial"/>
          <w:sz w:val="20"/>
          <w:szCs w:val="20"/>
        </w:rPr>
        <w:t>που θα συμβάλλει σ</w:t>
      </w:r>
      <w:r w:rsidR="00EF57A6" w:rsidRPr="006C72E6">
        <w:rPr>
          <w:rFonts w:ascii="Arial" w:hAnsi="Arial" w:cs="Arial"/>
          <w:sz w:val="20"/>
          <w:szCs w:val="20"/>
        </w:rPr>
        <w:t xml:space="preserve">τον εντοπισμό και την ανάπτυξη νέων ευκαιριών στις περιοχές εστίασης της Eldorado. </w:t>
      </w:r>
    </w:p>
    <w:p w14:paraId="2FA13CC7" w14:textId="77777777" w:rsidR="00BE5487" w:rsidRDefault="00BE5487" w:rsidP="00BE5487">
      <w:pPr>
        <w:jc w:val="both"/>
        <w:rPr>
          <w:rFonts w:ascii="Arial" w:hAnsi="Arial" w:cs="Arial"/>
          <w:sz w:val="20"/>
          <w:szCs w:val="20"/>
        </w:rPr>
      </w:pPr>
    </w:p>
    <w:p w14:paraId="13A38272" w14:textId="77777777" w:rsidR="008A17BB" w:rsidRDefault="008A17BB" w:rsidP="008A17BB">
      <w:pPr>
        <w:jc w:val="both"/>
        <w:rPr>
          <w:rFonts w:ascii="Arial" w:hAnsi="Arial" w:cs="Arial"/>
          <w:sz w:val="20"/>
          <w:szCs w:val="20"/>
        </w:rPr>
      </w:pPr>
    </w:p>
    <w:p w14:paraId="492471CB" w14:textId="71DF15E5" w:rsidR="00AE2FF6" w:rsidRDefault="00AE2FF6" w:rsidP="00AE2FF6">
      <w:pPr>
        <w:rPr>
          <w:rFonts w:ascii="Arial" w:hAnsi="Arial" w:cs="Arial"/>
          <w:sz w:val="20"/>
          <w:szCs w:val="20"/>
        </w:rPr>
      </w:pPr>
      <w:r>
        <w:rPr>
          <w:rFonts w:ascii="Arial" w:hAnsi="Arial" w:cs="Arial"/>
          <w:sz w:val="20"/>
          <w:szCs w:val="20"/>
        </w:rPr>
        <w:br w:type="page"/>
      </w:r>
    </w:p>
    <w:tbl>
      <w:tblPr>
        <w:tblStyle w:val="TableGrid"/>
        <w:tblW w:w="10075" w:type="dxa"/>
        <w:tblLayout w:type="fixed"/>
        <w:tblLook w:val="04A0" w:firstRow="1" w:lastRow="0" w:firstColumn="1" w:lastColumn="0" w:noHBand="0" w:noVBand="1"/>
      </w:tblPr>
      <w:tblGrid>
        <w:gridCol w:w="2425"/>
        <w:gridCol w:w="1912"/>
        <w:gridCol w:w="1913"/>
        <w:gridCol w:w="1912"/>
        <w:gridCol w:w="1913"/>
      </w:tblGrid>
      <w:tr w:rsidR="008A17BB" w:rsidRPr="00A53579" w14:paraId="19A40B2C" w14:textId="77777777">
        <w:tc>
          <w:tcPr>
            <w:tcW w:w="2425" w:type="dxa"/>
            <w:shd w:val="clear" w:color="auto" w:fill="ECF8F0"/>
          </w:tcPr>
          <w:p w14:paraId="02D0042B" w14:textId="77777777" w:rsidR="008A17BB" w:rsidRPr="00914A19" w:rsidRDefault="008A17BB">
            <w:pPr>
              <w:spacing w:after="120"/>
              <w:jc w:val="both"/>
              <w:rPr>
                <w:rFonts w:ascii="Arial" w:hAnsi="Arial" w:cs="Arial"/>
                <w:b/>
                <w:bCs/>
                <w:sz w:val="22"/>
                <w:szCs w:val="22"/>
              </w:rPr>
            </w:pPr>
          </w:p>
        </w:tc>
        <w:tc>
          <w:tcPr>
            <w:tcW w:w="1912" w:type="dxa"/>
            <w:shd w:val="clear" w:color="auto" w:fill="ECF8F0"/>
            <w:vAlign w:val="center"/>
          </w:tcPr>
          <w:p w14:paraId="013C944E" w14:textId="77777777" w:rsidR="008A17BB" w:rsidRPr="00BC68B7" w:rsidRDefault="008A17BB">
            <w:pPr>
              <w:spacing w:after="120"/>
              <w:jc w:val="center"/>
              <w:rPr>
                <w:rFonts w:ascii="Arial" w:hAnsi="Arial" w:cs="Arial"/>
                <w:b/>
                <w:bCs/>
                <w:sz w:val="17"/>
                <w:szCs w:val="17"/>
              </w:rPr>
            </w:pPr>
            <w:r w:rsidRPr="00BC68B7">
              <w:rPr>
                <w:rFonts w:ascii="Arial" w:hAnsi="Arial" w:cs="Arial"/>
                <w:b/>
                <w:bCs/>
                <w:sz w:val="17"/>
                <w:szCs w:val="17"/>
              </w:rPr>
              <w:t>2025</w:t>
            </w:r>
          </w:p>
        </w:tc>
        <w:tc>
          <w:tcPr>
            <w:tcW w:w="1913" w:type="dxa"/>
            <w:shd w:val="clear" w:color="auto" w:fill="ECF8F0"/>
            <w:vAlign w:val="center"/>
          </w:tcPr>
          <w:p w14:paraId="0C122E09" w14:textId="77777777" w:rsidR="008A17BB" w:rsidRPr="00BC68B7" w:rsidRDefault="008A17BB">
            <w:pPr>
              <w:spacing w:after="120"/>
              <w:jc w:val="center"/>
              <w:rPr>
                <w:rFonts w:ascii="Arial" w:hAnsi="Arial" w:cs="Arial"/>
                <w:b/>
                <w:bCs/>
                <w:sz w:val="17"/>
                <w:szCs w:val="17"/>
              </w:rPr>
            </w:pPr>
            <w:r w:rsidRPr="00BC68B7">
              <w:rPr>
                <w:rFonts w:ascii="Arial" w:hAnsi="Arial" w:cs="Arial"/>
                <w:b/>
                <w:bCs/>
                <w:sz w:val="17"/>
                <w:szCs w:val="17"/>
              </w:rPr>
              <w:t>2026</w:t>
            </w:r>
            <w:r w:rsidRPr="00BC68B7">
              <w:rPr>
                <w:rFonts w:ascii="Arial" w:hAnsi="Arial"/>
                <w:sz w:val="17"/>
                <w:szCs w:val="17"/>
                <w:vertAlign w:val="superscript"/>
              </w:rPr>
              <w:t xml:space="preserve"> (2)</w:t>
            </w:r>
          </w:p>
        </w:tc>
        <w:tc>
          <w:tcPr>
            <w:tcW w:w="1912" w:type="dxa"/>
            <w:shd w:val="clear" w:color="auto" w:fill="ECF8F0"/>
            <w:vAlign w:val="center"/>
          </w:tcPr>
          <w:p w14:paraId="307CD480" w14:textId="77777777" w:rsidR="008A17BB" w:rsidRPr="00914A19" w:rsidRDefault="008A17BB">
            <w:pPr>
              <w:spacing w:after="120"/>
              <w:jc w:val="center"/>
              <w:rPr>
                <w:rFonts w:ascii="Arial" w:hAnsi="Arial" w:cs="Arial"/>
                <w:b/>
                <w:bCs/>
                <w:sz w:val="17"/>
                <w:szCs w:val="17"/>
              </w:rPr>
            </w:pPr>
            <w:r w:rsidRPr="00914A19">
              <w:rPr>
                <w:rFonts w:ascii="Arial" w:hAnsi="Arial" w:cs="Arial"/>
                <w:b/>
                <w:bCs/>
                <w:sz w:val="17"/>
                <w:szCs w:val="17"/>
              </w:rPr>
              <w:t>202</w:t>
            </w:r>
            <w:r>
              <w:rPr>
                <w:rFonts w:ascii="Arial" w:hAnsi="Arial" w:cs="Arial"/>
                <w:b/>
                <w:bCs/>
                <w:sz w:val="17"/>
                <w:szCs w:val="17"/>
              </w:rPr>
              <w:t>7</w:t>
            </w:r>
          </w:p>
        </w:tc>
        <w:tc>
          <w:tcPr>
            <w:tcW w:w="1913" w:type="dxa"/>
            <w:shd w:val="clear" w:color="auto" w:fill="ECF8F0"/>
            <w:vAlign w:val="center"/>
          </w:tcPr>
          <w:p w14:paraId="3FF0F2EC" w14:textId="77777777" w:rsidR="008A17BB" w:rsidRPr="00914A19" w:rsidRDefault="008A17BB">
            <w:pPr>
              <w:spacing w:after="120"/>
              <w:jc w:val="center"/>
              <w:rPr>
                <w:rFonts w:ascii="Arial" w:hAnsi="Arial" w:cs="Arial"/>
                <w:b/>
                <w:bCs/>
                <w:sz w:val="17"/>
                <w:szCs w:val="17"/>
              </w:rPr>
            </w:pPr>
            <w:r w:rsidRPr="00914A19">
              <w:rPr>
                <w:rFonts w:ascii="Arial" w:hAnsi="Arial" w:cs="Arial"/>
                <w:b/>
                <w:bCs/>
                <w:sz w:val="17"/>
                <w:szCs w:val="17"/>
              </w:rPr>
              <w:t>202</w:t>
            </w:r>
            <w:r>
              <w:rPr>
                <w:rFonts w:ascii="Arial" w:hAnsi="Arial" w:cs="Arial"/>
                <w:b/>
                <w:bCs/>
                <w:sz w:val="17"/>
                <w:szCs w:val="17"/>
              </w:rPr>
              <w:t xml:space="preserve">4 </w:t>
            </w:r>
            <w:r w:rsidRPr="00914A19">
              <w:rPr>
                <w:rFonts w:ascii="Arial" w:hAnsi="Arial" w:cs="Arial"/>
                <w:b/>
                <w:bCs/>
                <w:sz w:val="17"/>
                <w:szCs w:val="17"/>
              </w:rPr>
              <w:t>Actual</w:t>
            </w:r>
          </w:p>
        </w:tc>
      </w:tr>
      <w:tr w:rsidR="008A17BB" w:rsidRPr="00A53579" w14:paraId="43EBC2FC" w14:textId="77777777">
        <w:tc>
          <w:tcPr>
            <w:tcW w:w="10075" w:type="dxa"/>
            <w:gridSpan w:val="5"/>
            <w:shd w:val="clear" w:color="auto" w:fill="ECF8F0"/>
            <w:vAlign w:val="center"/>
          </w:tcPr>
          <w:p w14:paraId="454D5CBE" w14:textId="77777777" w:rsidR="008A17BB" w:rsidRPr="00BC68B7" w:rsidRDefault="008A17BB">
            <w:pPr>
              <w:spacing w:after="120"/>
              <w:rPr>
                <w:rFonts w:ascii="Arial" w:hAnsi="Arial" w:cs="Arial"/>
                <w:sz w:val="17"/>
                <w:szCs w:val="17"/>
              </w:rPr>
            </w:pPr>
            <w:r w:rsidRPr="00BC68B7">
              <w:rPr>
                <w:rFonts w:ascii="Arial" w:hAnsi="Arial" w:cs="Arial"/>
                <w:b/>
                <w:bCs/>
                <w:sz w:val="17"/>
                <w:szCs w:val="17"/>
              </w:rPr>
              <w:t>Gold Production</w:t>
            </w:r>
            <w:r w:rsidRPr="00BC68B7">
              <w:rPr>
                <w:rFonts w:ascii="Arial" w:hAnsi="Arial" w:cs="Arial"/>
                <w:i/>
                <w:iCs/>
                <w:sz w:val="17"/>
                <w:szCs w:val="17"/>
              </w:rPr>
              <w:t xml:space="preserve"> (000’ oz)</w:t>
            </w:r>
          </w:p>
        </w:tc>
      </w:tr>
      <w:tr w:rsidR="008A17BB" w14:paraId="0F328453" w14:textId="77777777">
        <w:tc>
          <w:tcPr>
            <w:tcW w:w="2425" w:type="dxa"/>
            <w:vAlign w:val="center"/>
          </w:tcPr>
          <w:p w14:paraId="46A40ED8" w14:textId="77777777" w:rsidR="008A17BB" w:rsidRPr="00562509" w:rsidRDefault="008A17BB">
            <w:pPr>
              <w:spacing w:after="120"/>
              <w:rPr>
                <w:rFonts w:ascii="Arial" w:hAnsi="Arial" w:cs="Arial"/>
                <w:sz w:val="17"/>
                <w:szCs w:val="17"/>
              </w:rPr>
            </w:pPr>
            <w:r w:rsidRPr="00562509">
              <w:rPr>
                <w:rFonts w:ascii="Arial" w:hAnsi="Arial" w:cs="Arial"/>
                <w:sz w:val="17"/>
                <w:szCs w:val="17"/>
              </w:rPr>
              <w:t>Lamaque Complex</w:t>
            </w:r>
          </w:p>
        </w:tc>
        <w:tc>
          <w:tcPr>
            <w:tcW w:w="1912" w:type="dxa"/>
            <w:vAlign w:val="center"/>
          </w:tcPr>
          <w:p w14:paraId="1EDA5162" w14:textId="77777777" w:rsidR="008A17BB" w:rsidRPr="00BC68B7" w:rsidRDefault="008A17BB">
            <w:pPr>
              <w:spacing w:after="120"/>
              <w:jc w:val="center"/>
              <w:rPr>
                <w:rFonts w:ascii="Arial" w:hAnsi="Arial" w:cs="Arial"/>
                <w:sz w:val="17"/>
                <w:szCs w:val="17"/>
              </w:rPr>
            </w:pPr>
            <w:r w:rsidRPr="00BC68B7">
              <w:rPr>
                <w:rFonts w:ascii="Arial" w:hAnsi="Arial" w:cs="Arial"/>
                <w:sz w:val="17"/>
                <w:szCs w:val="17"/>
              </w:rPr>
              <w:t xml:space="preserve">170 – </w:t>
            </w:r>
            <w:r w:rsidRPr="009F66B2">
              <w:rPr>
                <w:rFonts w:ascii="Arial" w:hAnsi="Arial" w:cs="Arial"/>
                <w:sz w:val="17"/>
                <w:szCs w:val="17"/>
              </w:rPr>
              <w:t>180</w:t>
            </w:r>
            <w:r w:rsidRPr="009F66B2">
              <w:rPr>
                <w:rFonts w:ascii="Arial" w:hAnsi="Arial"/>
                <w:sz w:val="17"/>
                <w:szCs w:val="17"/>
                <w:vertAlign w:val="superscript"/>
              </w:rPr>
              <w:t>(1)</w:t>
            </w:r>
          </w:p>
        </w:tc>
        <w:tc>
          <w:tcPr>
            <w:tcW w:w="1913" w:type="dxa"/>
            <w:vAlign w:val="center"/>
          </w:tcPr>
          <w:p w14:paraId="3870D912" w14:textId="77777777" w:rsidR="008A17BB" w:rsidRPr="00BC68B7" w:rsidRDefault="008A17BB">
            <w:pPr>
              <w:spacing w:after="120"/>
              <w:jc w:val="center"/>
              <w:rPr>
                <w:rFonts w:ascii="Arial" w:hAnsi="Arial" w:cs="Arial"/>
                <w:sz w:val="17"/>
                <w:szCs w:val="17"/>
              </w:rPr>
            </w:pPr>
            <w:r w:rsidRPr="00BC68B7">
              <w:rPr>
                <w:rFonts w:ascii="Arial" w:hAnsi="Arial"/>
                <w:sz w:val="17"/>
                <w:szCs w:val="17"/>
              </w:rPr>
              <w:t>180 – 190</w:t>
            </w:r>
          </w:p>
        </w:tc>
        <w:tc>
          <w:tcPr>
            <w:tcW w:w="1912" w:type="dxa"/>
            <w:vAlign w:val="center"/>
          </w:tcPr>
          <w:p w14:paraId="5C44516B" w14:textId="77777777" w:rsidR="008A17BB" w:rsidRPr="00636914" w:rsidRDefault="008A17BB">
            <w:pPr>
              <w:spacing w:after="120"/>
              <w:jc w:val="center"/>
              <w:rPr>
                <w:rFonts w:ascii="Arial" w:hAnsi="Arial" w:cs="Arial"/>
                <w:sz w:val="17"/>
                <w:szCs w:val="17"/>
              </w:rPr>
            </w:pPr>
            <w:r w:rsidRPr="00636914">
              <w:rPr>
                <w:rFonts w:ascii="Arial" w:hAnsi="Arial"/>
                <w:sz w:val="17"/>
                <w:szCs w:val="17"/>
              </w:rPr>
              <w:t>175 – 185</w:t>
            </w:r>
          </w:p>
        </w:tc>
        <w:tc>
          <w:tcPr>
            <w:tcW w:w="1913" w:type="dxa"/>
            <w:shd w:val="clear" w:color="auto" w:fill="FFFFFF" w:themeFill="background1"/>
            <w:vAlign w:val="center"/>
          </w:tcPr>
          <w:p w14:paraId="43F45375" w14:textId="77777777" w:rsidR="008A17BB" w:rsidRPr="00A91AF9" w:rsidRDefault="008A17BB">
            <w:pPr>
              <w:spacing w:after="120"/>
              <w:jc w:val="center"/>
              <w:rPr>
                <w:rFonts w:ascii="Arial" w:hAnsi="Arial" w:cs="Arial"/>
                <w:sz w:val="17"/>
                <w:szCs w:val="17"/>
              </w:rPr>
            </w:pPr>
            <w:r w:rsidRPr="00A91AF9">
              <w:rPr>
                <w:rFonts w:ascii="Arial" w:hAnsi="Arial" w:cs="Arial"/>
                <w:sz w:val="17"/>
                <w:szCs w:val="17"/>
              </w:rPr>
              <w:t>197</w:t>
            </w:r>
          </w:p>
        </w:tc>
      </w:tr>
      <w:tr w:rsidR="008A17BB" w14:paraId="7BA3A77D" w14:textId="77777777">
        <w:tc>
          <w:tcPr>
            <w:tcW w:w="2425" w:type="dxa"/>
            <w:vAlign w:val="center"/>
          </w:tcPr>
          <w:p w14:paraId="200B2F4F" w14:textId="77777777" w:rsidR="008A17BB" w:rsidRPr="00562509" w:rsidRDefault="008A17BB">
            <w:pPr>
              <w:spacing w:after="120"/>
              <w:rPr>
                <w:rFonts w:ascii="Arial" w:hAnsi="Arial" w:cs="Arial"/>
                <w:sz w:val="17"/>
                <w:szCs w:val="17"/>
              </w:rPr>
            </w:pPr>
            <w:r w:rsidRPr="00562509">
              <w:rPr>
                <w:rFonts w:ascii="Arial" w:hAnsi="Arial" w:cs="Arial"/>
                <w:sz w:val="17"/>
                <w:szCs w:val="17"/>
              </w:rPr>
              <w:t>Kisladag</w:t>
            </w:r>
          </w:p>
        </w:tc>
        <w:tc>
          <w:tcPr>
            <w:tcW w:w="1912" w:type="dxa"/>
            <w:vAlign w:val="center"/>
          </w:tcPr>
          <w:p w14:paraId="6822A44B" w14:textId="77777777" w:rsidR="008A17BB" w:rsidRPr="00BC68B7" w:rsidRDefault="008A17BB">
            <w:pPr>
              <w:spacing w:after="120"/>
              <w:jc w:val="center"/>
              <w:rPr>
                <w:rFonts w:ascii="Arial" w:hAnsi="Arial" w:cs="Arial"/>
                <w:sz w:val="17"/>
                <w:szCs w:val="17"/>
              </w:rPr>
            </w:pPr>
            <w:r w:rsidRPr="00BC68B7">
              <w:rPr>
                <w:rFonts w:ascii="Arial" w:hAnsi="Arial"/>
                <w:sz w:val="17"/>
                <w:szCs w:val="17"/>
              </w:rPr>
              <w:t>160 – 170</w:t>
            </w:r>
          </w:p>
        </w:tc>
        <w:tc>
          <w:tcPr>
            <w:tcW w:w="1913" w:type="dxa"/>
            <w:vAlign w:val="center"/>
          </w:tcPr>
          <w:p w14:paraId="1405ACBD" w14:textId="77777777" w:rsidR="008A17BB" w:rsidRPr="00BC68B7" w:rsidRDefault="008A17BB">
            <w:pPr>
              <w:spacing w:after="120"/>
              <w:jc w:val="center"/>
              <w:rPr>
                <w:rFonts w:ascii="Arial" w:hAnsi="Arial" w:cs="Arial"/>
                <w:sz w:val="17"/>
                <w:szCs w:val="17"/>
              </w:rPr>
            </w:pPr>
            <w:r w:rsidRPr="00BC68B7">
              <w:rPr>
                <w:rFonts w:ascii="Arial" w:hAnsi="Arial"/>
                <w:sz w:val="17"/>
                <w:szCs w:val="17"/>
              </w:rPr>
              <w:t>135 – 145</w:t>
            </w:r>
          </w:p>
        </w:tc>
        <w:tc>
          <w:tcPr>
            <w:tcW w:w="1912" w:type="dxa"/>
            <w:vAlign w:val="center"/>
          </w:tcPr>
          <w:p w14:paraId="38C079D2" w14:textId="77777777" w:rsidR="008A17BB" w:rsidRPr="00636914" w:rsidRDefault="008A17BB">
            <w:pPr>
              <w:spacing w:after="120"/>
              <w:jc w:val="center"/>
              <w:rPr>
                <w:rFonts w:ascii="Arial" w:hAnsi="Arial" w:cs="Arial"/>
                <w:sz w:val="17"/>
                <w:szCs w:val="17"/>
              </w:rPr>
            </w:pPr>
            <w:r w:rsidRPr="00636914">
              <w:rPr>
                <w:rFonts w:ascii="Arial" w:hAnsi="Arial"/>
                <w:sz w:val="17"/>
                <w:szCs w:val="17"/>
              </w:rPr>
              <w:t>165 – 175</w:t>
            </w:r>
          </w:p>
        </w:tc>
        <w:tc>
          <w:tcPr>
            <w:tcW w:w="1913" w:type="dxa"/>
            <w:shd w:val="clear" w:color="auto" w:fill="FFFFFF" w:themeFill="background1"/>
            <w:vAlign w:val="center"/>
          </w:tcPr>
          <w:p w14:paraId="4B0E38BE" w14:textId="77777777" w:rsidR="008A17BB" w:rsidRPr="00A91AF9" w:rsidRDefault="008A17BB">
            <w:pPr>
              <w:spacing w:after="120"/>
              <w:jc w:val="center"/>
              <w:rPr>
                <w:rFonts w:ascii="Arial" w:hAnsi="Arial" w:cs="Arial"/>
                <w:sz w:val="17"/>
                <w:szCs w:val="17"/>
              </w:rPr>
            </w:pPr>
            <w:r w:rsidRPr="00A91AF9">
              <w:rPr>
                <w:rFonts w:ascii="Arial" w:hAnsi="Arial" w:cs="Arial"/>
                <w:sz w:val="17"/>
                <w:szCs w:val="17"/>
              </w:rPr>
              <w:t>174</w:t>
            </w:r>
          </w:p>
        </w:tc>
      </w:tr>
      <w:tr w:rsidR="008A17BB" w14:paraId="7E6E583E" w14:textId="77777777">
        <w:tc>
          <w:tcPr>
            <w:tcW w:w="2425" w:type="dxa"/>
            <w:vAlign w:val="center"/>
          </w:tcPr>
          <w:p w14:paraId="505D57C7" w14:textId="77777777" w:rsidR="008A17BB" w:rsidRPr="00562509" w:rsidRDefault="008A17BB">
            <w:pPr>
              <w:spacing w:after="120"/>
              <w:rPr>
                <w:rFonts w:ascii="Arial" w:hAnsi="Arial" w:cs="Arial"/>
                <w:sz w:val="17"/>
                <w:szCs w:val="17"/>
              </w:rPr>
            </w:pPr>
            <w:r w:rsidRPr="00562509">
              <w:rPr>
                <w:rFonts w:ascii="Arial" w:hAnsi="Arial" w:cs="Arial"/>
                <w:sz w:val="17"/>
                <w:szCs w:val="17"/>
              </w:rPr>
              <w:t>Efemcukuru</w:t>
            </w:r>
          </w:p>
        </w:tc>
        <w:tc>
          <w:tcPr>
            <w:tcW w:w="1912" w:type="dxa"/>
            <w:vAlign w:val="center"/>
          </w:tcPr>
          <w:p w14:paraId="27FD4064" w14:textId="77777777" w:rsidR="008A17BB" w:rsidRPr="00BC68B7" w:rsidRDefault="008A17BB">
            <w:pPr>
              <w:spacing w:after="120"/>
              <w:jc w:val="center"/>
              <w:rPr>
                <w:rFonts w:ascii="Arial" w:hAnsi="Arial" w:cs="Arial"/>
                <w:sz w:val="17"/>
                <w:szCs w:val="17"/>
              </w:rPr>
            </w:pPr>
            <w:r w:rsidRPr="00BC68B7">
              <w:rPr>
                <w:rFonts w:ascii="Arial" w:hAnsi="Arial"/>
                <w:sz w:val="17"/>
                <w:szCs w:val="17"/>
              </w:rPr>
              <w:t>70 – 80</w:t>
            </w:r>
          </w:p>
        </w:tc>
        <w:tc>
          <w:tcPr>
            <w:tcW w:w="1913" w:type="dxa"/>
            <w:vAlign w:val="center"/>
          </w:tcPr>
          <w:p w14:paraId="399C00AA" w14:textId="77777777" w:rsidR="008A17BB" w:rsidRPr="00BC68B7" w:rsidRDefault="008A17BB">
            <w:pPr>
              <w:spacing w:after="120"/>
              <w:jc w:val="center"/>
              <w:rPr>
                <w:rFonts w:ascii="Arial" w:hAnsi="Arial" w:cs="Arial"/>
                <w:sz w:val="17"/>
                <w:szCs w:val="17"/>
              </w:rPr>
            </w:pPr>
            <w:r w:rsidRPr="00BC68B7">
              <w:rPr>
                <w:rFonts w:ascii="Arial" w:hAnsi="Arial"/>
                <w:sz w:val="17"/>
                <w:szCs w:val="17"/>
              </w:rPr>
              <w:t>75 – 85</w:t>
            </w:r>
          </w:p>
        </w:tc>
        <w:tc>
          <w:tcPr>
            <w:tcW w:w="1912" w:type="dxa"/>
            <w:vAlign w:val="center"/>
          </w:tcPr>
          <w:p w14:paraId="30D24669" w14:textId="77777777" w:rsidR="008A17BB" w:rsidRPr="00636914" w:rsidRDefault="008A17BB">
            <w:pPr>
              <w:spacing w:after="120"/>
              <w:jc w:val="center"/>
              <w:rPr>
                <w:rFonts w:ascii="Arial" w:hAnsi="Arial" w:cs="Arial"/>
                <w:sz w:val="17"/>
                <w:szCs w:val="17"/>
              </w:rPr>
            </w:pPr>
            <w:r w:rsidRPr="00636914">
              <w:rPr>
                <w:rFonts w:ascii="Arial" w:hAnsi="Arial"/>
                <w:sz w:val="17"/>
                <w:szCs w:val="17"/>
              </w:rPr>
              <w:t>70 – 80</w:t>
            </w:r>
          </w:p>
        </w:tc>
        <w:tc>
          <w:tcPr>
            <w:tcW w:w="1913" w:type="dxa"/>
            <w:shd w:val="clear" w:color="auto" w:fill="FFFFFF" w:themeFill="background1"/>
            <w:vAlign w:val="center"/>
          </w:tcPr>
          <w:p w14:paraId="0DE3FD05" w14:textId="77777777" w:rsidR="008A17BB" w:rsidRPr="00A91AF9" w:rsidRDefault="008A17BB">
            <w:pPr>
              <w:spacing w:after="120"/>
              <w:jc w:val="center"/>
              <w:rPr>
                <w:rFonts w:ascii="Arial" w:hAnsi="Arial" w:cs="Arial"/>
                <w:sz w:val="17"/>
                <w:szCs w:val="17"/>
              </w:rPr>
            </w:pPr>
            <w:r w:rsidRPr="00A91AF9">
              <w:rPr>
                <w:rFonts w:ascii="Arial" w:hAnsi="Arial" w:cs="Arial"/>
                <w:sz w:val="17"/>
                <w:szCs w:val="17"/>
              </w:rPr>
              <w:t>80</w:t>
            </w:r>
          </w:p>
        </w:tc>
      </w:tr>
      <w:tr w:rsidR="008A17BB" w14:paraId="702D733A" w14:textId="77777777">
        <w:tc>
          <w:tcPr>
            <w:tcW w:w="2425" w:type="dxa"/>
            <w:vAlign w:val="center"/>
          </w:tcPr>
          <w:p w14:paraId="6A3C41E6" w14:textId="77777777" w:rsidR="008A17BB" w:rsidRPr="00562509" w:rsidRDefault="008A17BB">
            <w:pPr>
              <w:spacing w:after="120"/>
              <w:rPr>
                <w:rFonts w:ascii="Arial" w:hAnsi="Arial" w:cs="Arial"/>
                <w:sz w:val="17"/>
                <w:szCs w:val="17"/>
              </w:rPr>
            </w:pPr>
            <w:r w:rsidRPr="00562509">
              <w:rPr>
                <w:rFonts w:ascii="Arial" w:hAnsi="Arial" w:cs="Arial"/>
                <w:sz w:val="17"/>
                <w:szCs w:val="17"/>
              </w:rPr>
              <w:t>Olympias</w:t>
            </w:r>
          </w:p>
        </w:tc>
        <w:tc>
          <w:tcPr>
            <w:tcW w:w="1912" w:type="dxa"/>
            <w:vAlign w:val="center"/>
          </w:tcPr>
          <w:p w14:paraId="24B90CAB" w14:textId="77777777" w:rsidR="008A17BB" w:rsidRPr="00BC68B7" w:rsidRDefault="008A17BB">
            <w:pPr>
              <w:spacing w:after="120"/>
              <w:jc w:val="center"/>
              <w:rPr>
                <w:rFonts w:ascii="Arial" w:hAnsi="Arial" w:cs="Arial"/>
                <w:sz w:val="17"/>
                <w:szCs w:val="17"/>
              </w:rPr>
            </w:pPr>
            <w:r w:rsidRPr="00BC68B7">
              <w:rPr>
                <w:rFonts w:ascii="Arial" w:hAnsi="Arial"/>
                <w:sz w:val="17"/>
                <w:szCs w:val="17"/>
              </w:rPr>
              <w:t>60 – 70</w:t>
            </w:r>
          </w:p>
        </w:tc>
        <w:tc>
          <w:tcPr>
            <w:tcW w:w="1913" w:type="dxa"/>
            <w:vAlign w:val="center"/>
          </w:tcPr>
          <w:p w14:paraId="6A27B61D" w14:textId="77777777" w:rsidR="008A17BB" w:rsidRPr="00BC68B7" w:rsidRDefault="008A17BB">
            <w:pPr>
              <w:spacing w:after="120"/>
              <w:jc w:val="center"/>
              <w:rPr>
                <w:rFonts w:ascii="Arial" w:hAnsi="Arial" w:cs="Arial"/>
                <w:sz w:val="17"/>
                <w:szCs w:val="17"/>
              </w:rPr>
            </w:pPr>
            <w:r w:rsidRPr="00BC68B7">
              <w:rPr>
                <w:rFonts w:ascii="Arial" w:hAnsi="Arial"/>
                <w:sz w:val="17"/>
                <w:szCs w:val="17"/>
              </w:rPr>
              <w:t>80 – 90</w:t>
            </w:r>
          </w:p>
        </w:tc>
        <w:tc>
          <w:tcPr>
            <w:tcW w:w="1912" w:type="dxa"/>
            <w:vAlign w:val="center"/>
          </w:tcPr>
          <w:p w14:paraId="10826701" w14:textId="77777777" w:rsidR="008A17BB" w:rsidRPr="00636914" w:rsidRDefault="008A17BB">
            <w:pPr>
              <w:spacing w:after="120"/>
              <w:jc w:val="center"/>
              <w:rPr>
                <w:rFonts w:ascii="Arial" w:hAnsi="Arial" w:cs="Arial"/>
                <w:sz w:val="17"/>
                <w:szCs w:val="17"/>
              </w:rPr>
            </w:pPr>
            <w:r w:rsidRPr="00636914">
              <w:rPr>
                <w:rFonts w:ascii="Arial" w:hAnsi="Arial"/>
                <w:sz w:val="17"/>
                <w:szCs w:val="17"/>
              </w:rPr>
              <w:t>80 – 90</w:t>
            </w:r>
          </w:p>
        </w:tc>
        <w:tc>
          <w:tcPr>
            <w:tcW w:w="1913" w:type="dxa"/>
            <w:shd w:val="clear" w:color="auto" w:fill="FFFFFF" w:themeFill="background1"/>
            <w:vAlign w:val="center"/>
          </w:tcPr>
          <w:p w14:paraId="75B65D7D" w14:textId="77777777" w:rsidR="008A17BB" w:rsidRPr="00A91AF9" w:rsidRDefault="008A17BB">
            <w:pPr>
              <w:spacing w:after="120"/>
              <w:jc w:val="center"/>
              <w:rPr>
                <w:rFonts w:ascii="Arial" w:hAnsi="Arial" w:cs="Arial"/>
                <w:sz w:val="17"/>
                <w:szCs w:val="17"/>
              </w:rPr>
            </w:pPr>
            <w:r w:rsidRPr="00A91AF9">
              <w:rPr>
                <w:rFonts w:ascii="Arial" w:hAnsi="Arial" w:cs="Arial"/>
                <w:sz w:val="17"/>
                <w:szCs w:val="17"/>
              </w:rPr>
              <w:t>70</w:t>
            </w:r>
          </w:p>
        </w:tc>
      </w:tr>
      <w:tr w:rsidR="008A17BB" w14:paraId="61CE8204" w14:textId="77777777">
        <w:tc>
          <w:tcPr>
            <w:tcW w:w="2425" w:type="dxa"/>
            <w:vAlign w:val="center"/>
          </w:tcPr>
          <w:p w14:paraId="1AAA6ACA" w14:textId="77777777" w:rsidR="008A17BB" w:rsidRPr="00562509" w:rsidRDefault="008A17BB">
            <w:pPr>
              <w:spacing w:after="120"/>
              <w:rPr>
                <w:rFonts w:ascii="Arial" w:hAnsi="Arial" w:cs="Arial"/>
                <w:sz w:val="17"/>
                <w:szCs w:val="17"/>
              </w:rPr>
            </w:pPr>
            <w:r w:rsidRPr="00562509">
              <w:rPr>
                <w:rFonts w:ascii="Arial" w:hAnsi="Arial" w:cs="Arial"/>
                <w:sz w:val="17"/>
                <w:szCs w:val="17"/>
              </w:rPr>
              <w:t>Skouries</w:t>
            </w:r>
          </w:p>
        </w:tc>
        <w:tc>
          <w:tcPr>
            <w:tcW w:w="1912" w:type="dxa"/>
            <w:shd w:val="clear" w:color="auto" w:fill="EEECE1" w:themeFill="background2"/>
            <w:vAlign w:val="center"/>
          </w:tcPr>
          <w:p w14:paraId="16CF7E75" w14:textId="77777777" w:rsidR="008A17BB" w:rsidRPr="00BC68B7" w:rsidRDefault="008A17BB">
            <w:pPr>
              <w:spacing w:after="120"/>
              <w:rPr>
                <w:rFonts w:ascii="Arial" w:hAnsi="Arial" w:cs="Arial"/>
                <w:sz w:val="17"/>
                <w:szCs w:val="17"/>
              </w:rPr>
            </w:pPr>
          </w:p>
        </w:tc>
        <w:tc>
          <w:tcPr>
            <w:tcW w:w="1913" w:type="dxa"/>
            <w:vAlign w:val="center"/>
          </w:tcPr>
          <w:p w14:paraId="31331563" w14:textId="77777777" w:rsidR="008A17BB" w:rsidRPr="00BC68B7" w:rsidRDefault="008A17BB">
            <w:pPr>
              <w:spacing w:after="120"/>
              <w:jc w:val="center"/>
              <w:rPr>
                <w:rFonts w:ascii="Arial" w:hAnsi="Arial" w:cs="Arial"/>
                <w:sz w:val="17"/>
                <w:szCs w:val="17"/>
              </w:rPr>
            </w:pPr>
            <w:r w:rsidRPr="00BC68B7">
              <w:rPr>
                <w:rFonts w:ascii="Arial" w:hAnsi="Arial"/>
                <w:sz w:val="17"/>
                <w:szCs w:val="17"/>
              </w:rPr>
              <w:t>135 – 155</w:t>
            </w:r>
            <w:r w:rsidRPr="00BC68B7">
              <w:rPr>
                <w:rFonts w:ascii="Arial" w:hAnsi="Arial"/>
                <w:sz w:val="17"/>
                <w:szCs w:val="17"/>
                <w:vertAlign w:val="superscript"/>
              </w:rPr>
              <w:t>(2)</w:t>
            </w:r>
          </w:p>
        </w:tc>
        <w:tc>
          <w:tcPr>
            <w:tcW w:w="1912" w:type="dxa"/>
            <w:vAlign w:val="center"/>
          </w:tcPr>
          <w:p w14:paraId="0FC84A5D" w14:textId="77777777" w:rsidR="008A17BB" w:rsidRPr="00636914" w:rsidRDefault="008A17BB">
            <w:pPr>
              <w:spacing w:after="120"/>
              <w:jc w:val="center"/>
              <w:rPr>
                <w:rFonts w:ascii="Arial" w:hAnsi="Arial" w:cs="Arial"/>
                <w:sz w:val="17"/>
                <w:szCs w:val="17"/>
              </w:rPr>
            </w:pPr>
            <w:r w:rsidRPr="00636914">
              <w:rPr>
                <w:rFonts w:ascii="Arial" w:hAnsi="Arial"/>
                <w:sz w:val="17"/>
                <w:szCs w:val="17"/>
              </w:rPr>
              <w:t xml:space="preserve">170 – 190 </w:t>
            </w:r>
          </w:p>
        </w:tc>
        <w:tc>
          <w:tcPr>
            <w:tcW w:w="1913" w:type="dxa"/>
            <w:shd w:val="clear" w:color="auto" w:fill="EEECE1" w:themeFill="background2"/>
            <w:vAlign w:val="center"/>
          </w:tcPr>
          <w:p w14:paraId="11D98BA2" w14:textId="77777777" w:rsidR="008A17BB" w:rsidRPr="00A91AF9" w:rsidRDefault="008A17BB">
            <w:pPr>
              <w:spacing w:after="120"/>
              <w:jc w:val="center"/>
              <w:rPr>
                <w:rFonts w:ascii="Arial" w:hAnsi="Arial" w:cs="Arial"/>
                <w:sz w:val="17"/>
                <w:szCs w:val="17"/>
              </w:rPr>
            </w:pPr>
          </w:p>
        </w:tc>
      </w:tr>
      <w:tr w:rsidR="008A17BB" w14:paraId="399F133D" w14:textId="77777777">
        <w:tc>
          <w:tcPr>
            <w:tcW w:w="2425" w:type="dxa"/>
            <w:vAlign w:val="center"/>
          </w:tcPr>
          <w:p w14:paraId="4A5ECE2F" w14:textId="77777777" w:rsidR="008A17BB" w:rsidRDefault="008A17BB">
            <w:pPr>
              <w:spacing w:after="120"/>
              <w:rPr>
                <w:rFonts w:ascii="Arial" w:hAnsi="Arial" w:cs="Arial"/>
                <w:b/>
                <w:bCs/>
                <w:sz w:val="17"/>
                <w:szCs w:val="17"/>
              </w:rPr>
            </w:pPr>
            <w:r>
              <w:rPr>
                <w:rFonts w:ascii="Arial" w:hAnsi="Arial" w:cs="Arial"/>
                <w:b/>
                <w:bCs/>
                <w:sz w:val="17"/>
                <w:szCs w:val="17"/>
              </w:rPr>
              <w:t>Total Gold Production</w:t>
            </w:r>
            <w:r w:rsidRPr="00A31662">
              <w:rPr>
                <w:rFonts w:ascii="Arial" w:hAnsi="Arial" w:cs="Arial"/>
                <w:i/>
                <w:iCs/>
                <w:sz w:val="17"/>
                <w:szCs w:val="17"/>
              </w:rPr>
              <w:t xml:space="preserve"> </w:t>
            </w:r>
          </w:p>
        </w:tc>
        <w:tc>
          <w:tcPr>
            <w:tcW w:w="1912" w:type="dxa"/>
            <w:vAlign w:val="center"/>
          </w:tcPr>
          <w:p w14:paraId="3218CF25" w14:textId="77777777" w:rsidR="008A17BB" w:rsidRPr="00BC68B7" w:rsidRDefault="008A17BB">
            <w:pPr>
              <w:spacing w:after="120"/>
              <w:jc w:val="center"/>
              <w:rPr>
                <w:rFonts w:ascii="Arial" w:hAnsi="Arial" w:cs="Arial"/>
                <w:b/>
                <w:bCs/>
                <w:sz w:val="17"/>
                <w:szCs w:val="17"/>
              </w:rPr>
            </w:pPr>
            <w:r w:rsidRPr="00BC68B7">
              <w:rPr>
                <w:rFonts w:ascii="Arial" w:hAnsi="Arial" w:cs="Arial"/>
                <w:b/>
                <w:bCs/>
                <w:sz w:val="17"/>
                <w:szCs w:val="17"/>
              </w:rPr>
              <w:t xml:space="preserve">460 – 500 </w:t>
            </w:r>
          </w:p>
        </w:tc>
        <w:tc>
          <w:tcPr>
            <w:tcW w:w="1913" w:type="dxa"/>
            <w:vAlign w:val="center"/>
          </w:tcPr>
          <w:p w14:paraId="7CCF91C2" w14:textId="77777777" w:rsidR="008A17BB" w:rsidRPr="00BC68B7" w:rsidRDefault="008A17BB">
            <w:pPr>
              <w:spacing w:after="120"/>
              <w:jc w:val="center"/>
              <w:rPr>
                <w:rFonts w:ascii="Arial" w:hAnsi="Arial" w:cs="Arial"/>
                <w:b/>
                <w:bCs/>
                <w:sz w:val="17"/>
                <w:szCs w:val="17"/>
              </w:rPr>
            </w:pPr>
            <w:r w:rsidRPr="00BC68B7">
              <w:rPr>
                <w:rFonts w:ascii="Arial" w:hAnsi="Arial" w:cs="Arial"/>
                <w:b/>
                <w:bCs/>
                <w:sz w:val="17"/>
                <w:szCs w:val="17"/>
              </w:rPr>
              <w:t xml:space="preserve">605 – 665 </w:t>
            </w:r>
          </w:p>
        </w:tc>
        <w:tc>
          <w:tcPr>
            <w:tcW w:w="1912" w:type="dxa"/>
            <w:vAlign w:val="center"/>
          </w:tcPr>
          <w:p w14:paraId="4217BF14" w14:textId="77777777" w:rsidR="008A17BB" w:rsidRPr="00636914" w:rsidRDefault="008A17BB">
            <w:pPr>
              <w:spacing w:after="120"/>
              <w:jc w:val="center"/>
              <w:rPr>
                <w:rFonts w:ascii="Arial" w:hAnsi="Arial" w:cs="Arial"/>
                <w:b/>
                <w:bCs/>
                <w:sz w:val="17"/>
                <w:szCs w:val="17"/>
              </w:rPr>
            </w:pPr>
            <w:r w:rsidRPr="00636914">
              <w:rPr>
                <w:rFonts w:ascii="Arial" w:hAnsi="Arial" w:cs="Arial"/>
                <w:b/>
                <w:bCs/>
                <w:sz w:val="17"/>
                <w:szCs w:val="17"/>
              </w:rPr>
              <w:t xml:space="preserve">660 – 720 </w:t>
            </w:r>
          </w:p>
        </w:tc>
        <w:tc>
          <w:tcPr>
            <w:tcW w:w="1913" w:type="dxa"/>
            <w:shd w:val="clear" w:color="auto" w:fill="FFFFFF" w:themeFill="background1"/>
            <w:vAlign w:val="center"/>
          </w:tcPr>
          <w:p w14:paraId="240A48FF" w14:textId="77777777" w:rsidR="008A17BB" w:rsidRPr="00A91AF9" w:rsidRDefault="008A17BB">
            <w:pPr>
              <w:spacing w:after="120"/>
              <w:jc w:val="center"/>
              <w:rPr>
                <w:rFonts w:ascii="Arial" w:hAnsi="Arial" w:cs="Arial"/>
                <w:b/>
                <w:bCs/>
                <w:sz w:val="17"/>
                <w:szCs w:val="17"/>
              </w:rPr>
            </w:pPr>
            <w:r w:rsidRPr="00A91AF9">
              <w:rPr>
                <w:rFonts w:ascii="Arial" w:hAnsi="Arial" w:cs="Arial"/>
                <w:b/>
                <w:bCs/>
                <w:sz w:val="17"/>
                <w:szCs w:val="17"/>
              </w:rPr>
              <w:t>520</w:t>
            </w:r>
          </w:p>
        </w:tc>
      </w:tr>
      <w:tr w:rsidR="008A17BB" w:rsidRPr="00A53579" w14:paraId="0EDC6302" w14:textId="77777777">
        <w:tc>
          <w:tcPr>
            <w:tcW w:w="10075" w:type="dxa"/>
            <w:gridSpan w:val="5"/>
            <w:shd w:val="clear" w:color="auto" w:fill="ECF8F0"/>
            <w:vAlign w:val="center"/>
          </w:tcPr>
          <w:p w14:paraId="26B1D245" w14:textId="77777777" w:rsidR="008A17BB" w:rsidRPr="00BC68B7" w:rsidRDefault="008A17BB">
            <w:pPr>
              <w:spacing w:after="120"/>
              <w:rPr>
                <w:rFonts w:ascii="Arial" w:hAnsi="Arial" w:cs="Arial"/>
                <w:sz w:val="17"/>
                <w:szCs w:val="17"/>
              </w:rPr>
            </w:pPr>
            <w:r w:rsidRPr="00BC68B7">
              <w:rPr>
                <w:rFonts w:ascii="Arial" w:hAnsi="Arial" w:cs="Arial"/>
                <w:b/>
                <w:bCs/>
                <w:sz w:val="17"/>
                <w:szCs w:val="17"/>
              </w:rPr>
              <w:t xml:space="preserve">Copper Production </w:t>
            </w:r>
            <w:r w:rsidRPr="00BC68B7">
              <w:rPr>
                <w:rFonts w:ascii="Arial" w:hAnsi="Arial" w:cs="Arial"/>
                <w:i/>
                <w:iCs/>
                <w:sz w:val="17"/>
                <w:szCs w:val="17"/>
              </w:rPr>
              <w:t>(Mlbs)</w:t>
            </w:r>
          </w:p>
        </w:tc>
      </w:tr>
      <w:tr w:rsidR="008A17BB" w14:paraId="1EE417A2" w14:textId="77777777">
        <w:trPr>
          <w:trHeight w:val="476"/>
        </w:trPr>
        <w:tc>
          <w:tcPr>
            <w:tcW w:w="2425" w:type="dxa"/>
            <w:vAlign w:val="center"/>
          </w:tcPr>
          <w:p w14:paraId="37CEF135" w14:textId="77777777" w:rsidR="008A17BB" w:rsidRPr="0053406F" w:rsidRDefault="008A17BB">
            <w:pPr>
              <w:spacing w:after="120"/>
              <w:rPr>
                <w:rFonts w:ascii="Arial" w:hAnsi="Arial" w:cs="Arial"/>
                <w:b/>
                <w:bCs/>
                <w:sz w:val="17"/>
                <w:szCs w:val="17"/>
                <w:lang w:val="fr-FR"/>
              </w:rPr>
            </w:pPr>
            <w:r w:rsidRPr="0053406F">
              <w:rPr>
                <w:rFonts w:ascii="Arial" w:hAnsi="Arial" w:cs="Arial"/>
                <w:b/>
                <w:bCs/>
                <w:sz w:val="17"/>
                <w:szCs w:val="17"/>
                <w:lang w:val="fr-FR"/>
              </w:rPr>
              <w:t>Total Copper Production</w:t>
            </w:r>
            <w:r w:rsidRPr="0053406F">
              <w:rPr>
                <w:rFonts w:ascii="Arial" w:hAnsi="Arial" w:cs="Arial"/>
                <w:i/>
                <w:iCs/>
                <w:sz w:val="17"/>
                <w:szCs w:val="17"/>
                <w:lang w:val="fr-FR"/>
              </w:rPr>
              <w:t xml:space="preserve"> Skou</w:t>
            </w:r>
            <w:r>
              <w:rPr>
                <w:rFonts w:ascii="Arial" w:hAnsi="Arial" w:cs="Arial"/>
                <w:i/>
                <w:iCs/>
                <w:sz w:val="17"/>
                <w:szCs w:val="17"/>
                <w:lang w:val="fr-FR"/>
              </w:rPr>
              <w:t>ries</w:t>
            </w:r>
          </w:p>
        </w:tc>
        <w:tc>
          <w:tcPr>
            <w:tcW w:w="1912" w:type="dxa"/>
            <w:shd w:val="clear" w:color="auto" w:fill="EEECE1" w:themeFill="background2"/>
            <w:vAlign w:val="center"/>
          </w:tcPr>
          <w:p w14:paraId="190861E9" w14:textId="77777777" w:rsidR="008A17BB" w:rsidRPr="00BC68B7" w:rsidRDefault="008A17BB">
            <w:pPr>
              <w:spacing w:after="120"/>
              <w:jc w:val="center"/>
              <w:rPr>
                <w:rFonts w:ascii="Arial" w:hAnsi="Arial" w:cs="Arial"/>
                <w:sz w:val="17"/>
                <w:szCs w:val="17"/>
                <w:lang w:val="fr-FR"/>
              </w:rPr>
            </w:pPr>
          </w:p>
        </w:tc>
        <w:tc>
          <w:tcPr>
            <w:tcW w:w="1913" w:type="dxa"/>
            <w:shd w:val="clear" w:color="auto" w:fill="auto"/>
            <w:vAlign w:val="center"/>
          </w:tcPr>
          <w:p w14:paraId="71A0F172" w14:textId="77777777" w:rsidR="008A17BB" w:rsidRPr="00BC68B7" w:rsidRDefault="008A17BB">
            <w:pPr>
              <w:spacing w:after="120"/>
              <w:jc w:val="center"/>
              <w:rPr>
                <w:rFonts w:ascii="Arial" w:hAnsi="Arial" w:cs="Arial"/>
                <w:b/>
                <w:bCs/>
                <w:sz w:val="17"/>
                <w:szCs w:val="17"/>
              </w:rPr>
            </w:pPr>
            <w:r w:rsidRPr="00BC68B7">
              <w:rPr>
                <w:rFonts w:ascii="Arial" w:hAnsi="Arial" w:cs="Arial"/>
                <w:b/>
                <w:bCs/>
                <w:sz w:val="17"/>
                <w:szCs w:val="17"/>
              </w:rPr>
              <w:t>45 – 60</w:t>
            </w:r>
          </w:p>
        </w:tc>
        <w:tc>
          <w:tcPr>
            <w:tcW w:w="1912" w:type="dxa"/>
            <w:shd w:val="clear" w:color="auto" w:fill="auto"/>
            <w:vAlign w:val="center"/>
          </w:tcPr>
          <w:p w14:paraId="465B9F65" w14:textId="77777777" w:rsidR="008A17BB" w:rsidRPr="00636914" w:rsidRDefault="008A17BB">
            <w:pPr>
              <w:spacing w:after="120"/>
              <w:jc w:val="center"/>
              <w:rPr>
                <w:rFonts w:ascii="Arial" w:hAnsi="Arial" w:cs="Arial"/>
                <w:b/>
                <w:bCs/>
                <w:sz w:val="17"/>
                <w:szCs w:val="17"/>
              </w:rPr>
            </w:pPr>
            <w:r w:rsidRPr="00636914">
              <w:rPr>
                <w:rFonts w:ascii="Arial" w:hAnsi="Arial" w:cs="Arial"/>
                <w:b/>
                <w:bCs/>
                <w:sz w:val="17"/>
                <w:szCs w:val="17"/>
              </w:rPr>
              <w:t>60 – 80</w:t>
            </w:r>
          </w:p>
        </w:tc>
        <w:tc>
          <w:tcPr>
            <w:tcW w:w="1913" w:type="dxa"/>
            <w:shd w:val="clear" w:color="auto" w:fill="EEECE1" w:themeFill="background2"/>
            <w:vAlign w:val="center"/>
          </w:tcPr>
          <w:p w14:paraId="43FEBEA2" w14:textId="77777777" w:rsidR="008A17BB" w:rsidRPr="009600D3" w:rsidRDefault="008A17BB">
            <w:pPr>
              <w:spacing w:after="120"/>
              <w:jc w:val="center"/>
              <w:rPr>
                <w:rFonts w:ascii="Arial" w:hAnsi="Arial" w:cs="Arial"/>
                <w:sz w:val="17"/>
                <w:szCs w:val="17"/>
                <w:highlight w:val="cyan"/>
              </w:rPr>
            </w:pPr>
          </w:p>
        </w:tc>
      </w:tr>
      <w:tr w:rsidR="008A17BB" w14:paraId="454D76D3" w14:textId="77777777">
        <w:tc>
          <w:tcPr>
            <w:tcW w:w="10075" w:type="dxa"/>
            <w:gridSpan w:val="5"/>
            <w:shd w:val="clear" w:color="auto" w:fill="ECF8F0"/>
            <w:vAlign w:val="center"/>
          </w:tcPr>
          <w:p w14:paraId="2F6B5FF8" w14:textId="77777777" w:rsidR="008A17BB" w:rsidRPr="00BC68B7" w:rsidRDefault="008A17BB">
            <w:pPr>
              <w:spacing w:after="120"/>
              <w:rPr>
                <w:rFonts w:ascii="Arial" w:hAnsi="Arial" w:cs="Arial"/>
                <w:sz w:val="17"/>
                <w:szCs w:val="17"/>
              </w:rPr>
            </w:pPr>
            <w:r w:rsidRPr="00BC68B7">
              <w:rPr>
                <w:rFonts w:ascii="Arial" w:hAnsi="Arial" w:cs="Arial"/>
                <w:b/>
                <w:bCs/>
                <w:sz w:val="17"/>
                <w:szCs w:val="17"/>
              </w:rPr>
              <w:t xml:space="preserve">Silver Production </w:t>
            </w:r>
            <w:r w:rsidRPr="00BC68B7">
              <w:rPr>
                <w:rFonts w:ascii="Arial" w:hAnsi="Arial" w:cs="Arial"/>
                <w:i/>
                <w:iCs/>
                <w:sz w:val="17"/>
                <w:szCs w:val="17"/>
              </w:rPr>
              <w:t>(000’ oz)</w:t>
            </w:r>
          </w:p>
        </w:tc>
      </w:tr>
      <w:tr w:rsidR="008A17BB" w14:paraId="1DC50461" w14:textId="77777777">
        <w:trPr>
          <w:trHeight w:val="350"/>
        </w:trPr>
        <w:tc>
          <w:tcPr>
            <w:tcW w:w="2425" w:type="dxa"/>
            <w:vAlign w:val="center"/>
          </w:tcPr>
          <w:p w14:paraId="47D44C4D" w14:textId="77777777" w:rsidR="008A17BB" w:rsidRDefault="008A17BB">
            <w:pPr>
              <w:spacing w:after="120"/>
              <w:rPr>
                <w:rFonts w:ascii="Arial" w:hAnsi="Arial" w:cs="Arial"/>
                <w:b/>
                <w:bCs/>
                <w:sz w:val="17"/>
                <w:szCs w:val="17"/>
              </w:rPr>
            </w:pPr>
            <w:r>
              <w:rPr>
                <w:rFonts w:ascii="Arial" w:hAnsi="Arial" w:cs="Arial"/>
                <w:b/>
                <w:bCs/>
                <w:sz w:val="17"/>
                <w:szCs w:val="17"/>
              </w:rPr>
              <w:t xml:space="preserve">Total Silver Production </w:t>
            </w:r>
            <w:r w:rsidRPr="0053406F">
              <w:rPr>
                <w:rFonts w:ascii="Arial" w:hAnsi="Arial" w:cs="Arial"/>
                <w:i/>
                <w:iCs/>
                <w:sz w:val="17"/>
                <w:szCs w:val="17"/>
              </w:rPr>
              <w:t>Olympias</w:t>
            </w:r>
          </w:p>
        </w:tc>
        <w:tc>
          <w:tcPr>
            <w:tcW w:w="1912" w:type="dxa"/>
            <w:shd w:val="clear" w:color="auto" w:fill="auto"/>
            <w:vAlign w:val="center"/>
          </w:tcPr>
          <w:p w14:paraId="36800309" w14:textId="77777777" w:rsidR="008A17BB" w:rsidRPr="00BC68B7" w:rsidRDefault="008A17BB">
            <w:pPr>
              <w:spacing w:after="120"/>
              <w:jc w:val="center"/>
              <w:rPr>
                <w:rFonts w:ascii="Arial" w:hAnsi="Arial" w:cs="Arial"/>
                <w:b/>
                <w:bCs/>
                <w:sz w:val="17"/>
                <w:szCs w:val="17"/>
              </w:rPr>
            </w:pPr>
            <w:r w:rsidRPr="00BC68B7">
              <w:rPr>
                <w:rFonts w:ascii="Arial" w:hAnsi="Arial" w:cs="Arial"/>
                <w:b/>
                <w:bCs/>
                <w:sz w:val="17"/>
                <w:szCs w:val="17"/>
              </w:rPr>
              <w:t>1,300 – 1,500</w:t>
            </w:r>
          </w:p>
        </w:tc>
        <w:tc>
          <w:tcPr>
            <w:tcW w:w="1913" w:type="dxa"/>
            <w:shd w:val="clear" w:color="auto" w:fill="auto"/>
            <w:vAlign w:val="center"/>
          </w:tcPr>
          <w:p w14:paraId="68013AAC" w14:textId="77777777" w:rsidR="008A17BB" w:rsidRPr="00BC68B7" w:rsidRDefault="008A17BB">
            <w:pPr>
              <w:spacing w:after="120"/>
              <w:jc w:val="center"/>
              <w:rPr>
                <w:rFonts w:ascii="Arial" w:hAnsi="Arial" w:cs="Arial"/>
                <w:b/>
                <w:bCs/>
                <w:sz w:val="17"/>
                <w:szCs w:val="17"/>
              </w:rPr>
            </w:pPr>
            <w:r w:rsidRPr="00BC68B7">
              <w:rPr>
                <w:rFonts w:ascii="Arial" w:hAnsi="Arial" w:cs="Arial"/>
                <w:b/>
                <w:bCs/>
                <w:sz w:val="17"/>
                <w:szCs w:val="17"/>
              </w:rPr>
              <w:t>1,550 – 1,750</w:t>
            </w:r>
          </w:p>
        </w:tc>
        <w:tc>
          <w:tcPr>
            <w:tcW w:w="1912" w:type="dxa"/>
            <w:shd w:val="clear" w:color="auto" w:fill="auto"/>
            <w:vAlign w:val="center"/>
          </w:tcPr>
          <w:p w14:paraId="1234C07D" w14:textId="77777777" w:rsidR="008A17BB" w:rsidRPr="00CD54E3" w:rsidRDefault="008A17BB">
            <w:pPr>
              <w:spacing w:after="120"/>
              <w:jc w:val="center"/>
              <w:rPr>
                <w:rFonts w:ascii="Arial" w:hAnsi="Arial" w:cs="Arial"/>
                <w:b/>
                <w:bCs/>
                <w:sz w:val="17"/>
                <w:szCs w:val="17"/>
                <w:highlight w:val="yellow"/>
              </w:rPr>
            </w:pPr>
            <w:r w:rsidRPr="00CD54E3">
              <w:rPr>
                <w:rFonts w:ascii="Arial" w:hAnsi="Arial" w:cs="Arial"/>
                <w:b/>
                <w:bCs/>
                <w:sz w:val="17"/>
                <w:szCs w:val="17"/>
              </w:rPr>
              <w:t>1,750 – 1,950</w:t>
            </w:r>
          </w:p>
        </w:tc>
        <w:tc>
          <w:tcPr>
            <w:tcW w:w="1913" w:type="dxa"/>
            <w:shd w:val="clear" w:color="auto" w:fill="EEECE1" w:themeFill="background2"/>
            <w:vAlign w:val="center"/>
          </w:tcPr>
          <w:p w14:paraId="0CC93363" w14:textId="77777777" w:rsidR="008A17BB" w:rsidRPr="006F0A41" w:rsidRDefault="008A17BB">
            <w:pPr>
              <w:spacing w:after="120"/>
              <w:jc w:val="center"/>
              <w:rPr>
                <w:rFonts w:ascii="Arial" w:hAnsi="Arial" w:cs="Arial"/>
                <w:sz w:val="17"/>
                <w:szCs w:val="17"/>
              </w:rPr>
            </w:pPr>
          </w:p>
        </w:tc>
      </w:tr>
      <w:tr w:rsidR="008A17BB" w14:paraId="51B84A33" w14:textId="77777777">
        <w:tc>
          <w:tcPr>
            <w:tcW w:w="10075" w:type="dxa"/>
            <w:gridSpan w:val="5"/>
            <w:shd w:val="clear" w:color="auto" w:fill="ECF8F0"/>
            <w:vAlign w:val="center"/>
          </w:tcPr>
          <w:p w14:paraId="2A45C58C" w14:textId="77777777" w:rsidR="008A17BB" w:rsidRPr="00BC68B7" w:rsidRDefault="008A17BB">
            <w:pPr>
              <w:spacing w:after="120"/>
              <w:rPr>
                <w:rFonts w:ascii="Arial" w:hAnsi="Arial" w:cs="Arial"/>
                <w:sz w:val="17"/>
                <w:szCs w:val="17"/>
              </w:rPr>
            </w:pPr>
            <w:r w:rsidRPr="00BC68B7">
              <w:rPr>
                <w:rFonts w:ascii="Arial" w:hAnsi="Arial" w:cs="Arial"/>
                <w:b/>
                <w:bCs/>
                <w:sz w:val="17"/>
                <w:szCs w:val="17"/>
              </w:rPr>
              <w:t xml:space="preserve">Lead Production </w:t>
            </w:r>
            <w:r w:rsidRPr="00BC68B7">
              <w:rPr>
                <w:rFonts w:ascii="Arial" w:hAnsi="Arial" w:cs="Arial"/>
                <w:i/>
                <w:iCs/>
                <w:sz w:val="17"/>
                <w:szCs w:val="17"/>
              </w:rPr>
              <w:t>(t)</w:t>
            </w:r>
          </w:p>
        </w:tc>
      </w:tr>
      <w:tr w:rsidR="008A17BB" w14:paraId="6EFF37CD" w14:textId="77777777">
        <w:tc>
          <w:tcPr>
            <w:tcW w:w="2425" w:type="dxa"/>
            <w:vAlign w:val="center"/>
          </w:tcPr>
          <w:p w14:paraId="2603652A" w14:textId="77777777" w:rsidR="008A17BB" w:rsidRPr="00E37F2C" w:rsidRDefault="008A17BB">
            <w:pPr>
              <w:spacing w:after="120"/>
              <w:rPr>
                <w:rFonts w:ascii="Arial" w:hAnsi="Arial" w:cs="Arial"/>
                <w:sz w:val="17"/>
                <w:szCs w:val="17"/>
              </w:rPr>
            </w:pPr>
            <w:r>
              <w:rPr>
                <w:rFonts w:ascii="Arial" w:hAnsi="Arial" w:cs="Arial"/>
                <w:b/>
                <w:bCs/>
                <w:sz w:val="17"/>
                <w:szCs w:val="17"/>
              </w:rPr>
              <w:t xml:space="preserve">Total Lead Production </w:t>
            </w:r>
            <w:r w:rsidRPr="0053406F">
              <w:rPr>
                <w:rFonts w:ascii="Arial" w:hAnsi="Arial" w:cs="Arial"/>
                <w:i/>
                <w:iCs/>
                <w:sz w:val="17"/>
                <w:szCs w:val="17"/>
              </w:rPr>
              <w:t>Olympias</w:t>
            </w:r>
          </w:p>
        </w:tc>
        <w:tc>
          <w:tcPr>
            <w:tcW w:w="1912" w:type="dxa"/>
            <w:shd w:val="clear" w:color="auto" w:fill="auto"/>
            <w:vAlign w:val="center"/>
          </w:tcPr>
          <w:p w14:paraId="6B4CBF8B" w14:textId="77777777" w:rsidR="008A17BB" w:rsidRPr="00BC68B7" w:rsidRDefault="008A17BB">
            <w:pPr>
              <w:spacing w:after="120"/>
              <w:jc w:val="center"/>
              <w:rPr>
                <w:rFonts w:ascii="Arial" w:hAnsi="Arial" w:cs="Arial"/>
                <w:b/>
                <w:bCs/>
                <w:sz w:val="17"/>
                <w:szCs w:val="17"/>
              </w:rPr>
            </w:pPr>
            <w:r w:rsidRPr="00BC68B7">
              <w:rPr>
                <w:rFonts w:ascii="Arial" w:hAnsi="Arial" w:cs="Arial"/>
                <w:b/>
                <w:bCs/>
                <w:sz w:val="17"/>
                <w:szCs w:val="17"/>
              </w:rPr>
              <w:t>12,000 – 15,000</w:t>
            </w:r>
          </w:p>
        </w:tc>
        <w:tc>
          <w:tcPr>
            <w:tcW w:w="1913" w:type="dxa"/>
            <w:shd w:val="clear" w:color="auto" w:fill="auto"/>
            <w:vAlign w:val="center"/>
          </w:tcPr>
          <w:p w14:paraId="7A5D15AD" w14:textId="77777777" w:rsidR="008A17BB" w:rsidRPr="00BC68B7" w:rsidRDefault="008A17BB">
            <w:pPr>
              <w:spacing w:after="120"/>
              <w:jc w:val="center"/>
              <w:rPr>
                <w:rFonts w:ascii="Arial" w:hAnsi="Arial" w:cs="Arial"/>
                <w:b/>
                <w:bCs/>
                <w:sz w:val="17"/>
                <w:szCs w:val="17"/>
              </w:rPr>
            </w:pPr>
            <w:r w:rsidRPr="00BC68B7">
              <w:rPr>
                <w:rFonts w:ascii="Arial" w:hAnsi="Arial" w:cs="Arial"/>
                <w:b/>
                <w:bCs/>
                <w:sz w:val="17"/>
                <w:szCs w:val="17"/>
              </w:rPr>
              <w:t>15,000 – 18,000</w:t>
            </w:r>
          </w:p>
        </w:tc>
        <w:tc>
          <w:tcPr>
            <w:tcW w:w="1912" w:type="dxa"/>
            <w:shd w:val="clear" w:color="auto" w:fill="auto"/>
            <w:vAlign w:val="center"/>
          </w:tcPr>
          <w:p w14:paraId="60159A7D" w14:textId="77777777" w:rsidR="008A17BB" w:rsidRPr="00950491" w:rsidRDefault="008A17BB">
            <w:pPr>
              <w:spacing w:after="120"/>
              <w:jc w:val="center"/>
              <w:rPr>
                <w:rFonts w:ascii="Arial" w:hAnsi="Arial" w:cs="Arial"/>
                <w:b/>
                <w:bCs/>
                <w:sz w:val="17"/>
                <w:szCs w:val="17"/>
              </w:rPr>
            </w:pPr>
            <w:r w:rsidRPr="00950491">
              <w:rPr>
                <w:rFonts w:ascii="Arial" w:hAnsi="Arial" w:cs="Arial"/>
                <w:b/>
                <w:bCs/>
                <w:sz w:val="17"/>
                <w:szCs w:val="17"/>
              </w:rPr>
              <w:t>17,000 – 20,000</w:t>
            </w:r>
          </w:p>
        </w:tc>
        <w:tc>
          <w:tcPr>
            <w:tcW w:w="1913" w:type="dxa"/>
            <w:shd w:val="clear" w:color="auto" w:fill="EEECE1" w:themeFill="background2"/>
            <w:vAlign w:val="center"/>
          </w:tcPr>
          <w:p w14:paraId="37D48501" w14:textId="77777777" w:rsidR="008A17BB" w:rsidRPr="006F0A41" w:rsidRDefault="008A17BB">
            <w:pPr>
              <w:spacing w:after="120"/>
              <w:jc w:val="center"/>
              <w:rPr>
                <w:rFonts w:ascii="Arial" w:hAnsi="Arial" w:cs="Arial"/>
                <w:sz w:val="17"/>
                <w:szCs w:val="17"/>
              </w:rPr>
            </w:pPr>
          </w:p>
        </w:tc>
      </w:tr>
      <w:tr w:rsidR="008A17BB" w14:paraId="1EE97934" w14:textId="77777777">
        <w:tc>
          <w:tcPr>
            <w:tcW w:w="2425" w:type="dxa"/>
            <w:shd w:val="clear" w:color="auto" w:fill="ECF8F0"/>
            <w:vAlign w:val="center"/>
          </w:tcPr>
          <w:p w14:paraId="500C9567" w14:textId="77777777" w:rsidR="008A17BB" w:rsidRDefault="008A17BB">
            <w:pPr>
              <w:spacing w:after="120"/>
              <w:rPr>
                <w:rFonts w:ascii="Arial" w:hAnsi="Arial" w:cs="Arial"/>
                <w:b/>
                <w:bCs/>
                <w:sz w:val="17"/>
                <w:szCs w:val="17"/>
              </w:rPr>
            </w:pPr>
            <w:r>
              <w:rPr>
                <w:rFonts w:ascii="Arial" w:hAnsi="Arial" w:cs="Arial"/>
                <w:b/>
                <w:bCs/>
                <w:sz w:val="17"/>
                <w:szCs w:val="17"/>
              </w:rPr>
              <w:t xml:space="preserve">Zinc Production </w:t>
            </w:r>
            <w:r w:rsidRPr="00F2404E">
              <w:rPr>
                <w:rFonts w:ascii="Arial" w:hAnsi="Arial" w:cs="Arial"/>
                <w:i/>
                <w:iCs/>
                <w:sz w:val="17"/>
                <w:szCs w:val="17"/>
              </w:rPr>
              <w:t>(t)</w:t>
            </w:r>
          </w:p>
        </w:tc>
        <w:tc>
          <w:tcPr>
            <w:tcW w:w="1912" w:type="dxa"/>
            <w:shd w:val="clear" w:color="auto" w:fill="ECF8F0"/>
            <w:vAlign w:val="center"/>
          </w:tcPr>
          <w:p w14:paraId="0DCC79D8" w14:textId="77777777" w:rsidR="008A17BB" w:rsidRPr="00BC68B7" w:rsidRDefault="008A17BB">
            <w:pPr>
              <w:spacing w:after="120"/>
              <w:jc w:val="center"/>
              <w:rPr>
                <w:rFonts w:ascii="Arial" w:hAnsi="Arial" w:cs="Arial"/>
                <w:b/>
                <w:bCs/>
                <w:sz w:val="17"/>
                <w:szCs w:val="17"/>
              </w:rPr>
            </w:pPr>
          </w:p>
        </w:tc>
        <w:tc>
          <w:tcPr>
            <w:tcW w:w="1913" w:type="dxa"/>
            <w:shd w:val="clear" w:color="auto" w:fill="ECF8F0"/>
            <w:vAlign w:val="center"/>
          </w:tcPr>
          <w:p w14:paraId="786B1CBF" w14:textId="77777777" w:rsidR="008A17BB" w:rsidRPr="00BC68B7" w:rsidRDefault="008A17BB">
            <w:pPr>
              <w:spacing w:after="120"/>
              <w:jc w:val="center"/>
              <w:rPr>
                <w:rFonts w:ascii="Arial" w:hAnsi="Arial" w:cs="Arial"/>
                <w:b/>
                <w:bCs/>
                <w:sz w:val="17"/>
                <w:szCs w:val="17"/>
              </w:rPr>
            </w:pPr>
          </w:p>
        </w:tc>
        <w:tc>
          <w:tcPr>
            <w:tcW w:w="1912" w:type="dxa"/>
            <w:shd w:val="clear" w:color="auto" w:fill="ECF8F0"/>
            <w:vAlign w:val="center"/>
          </w:tcPr>
          <w:p w14:paraId="403ABDF4" w14:textId="77777777" w:rsidR="008A17BB" w:rsidRPr="00950491" w:rsidRDefault="008A17BB">
            <w:pPr>
              <w:spacing w:after="120"/>
              <w:jc w:val="center"/>
              <w:rPr>
                <w:rFonts w:ascii="Arial" w:hAnsi="Arial" w:cs="Arial"/>
                <w:b/>
                <w:bCs/>
                <w:sz w:val="17"/>
                <w:szCs w:val="17"/>
                <w:highlight w:val="yellow"/>
              </w:rPr>
            </w:pPr>
          </w:p>
        </w:tc>
        <w:tc>
          <w:tcPr>
            <w:tcW w:w="1913" w:type="dxa"/>
            <w:shd w:val="clear" w:color="auto" w:fill="ECF8F0"/>
            <w:vAlign w:val="center"/>
          </w:tcPr>
          <w:p w14:paraId="28960924" w14:textId="77777777" w:rsidR="008A17BB" w:rsidRPr="006F0A41" w:rsidRDefault="008A17BB">
            <w:pPr>
              <w:spacing w:after="120"/>
              <w:jc w:val="center"/>
              <w:rPr>
                <w:rFonts w:ascii="Arial" w:hAnsi="Arial" w:cs="Arial"/>
                <w:sz w:val="17"/>
                <w:szCs w:val="17"/>
              </w:rPr>
            </w:pPr>
          </w:p>
        </w:tc>
      </w:tr>
      <w:tr w:rsidR="008A17BB" w14:paraId="6D2E8E67" w14:textId="77777777">
        <w:trPr>
          <w:trHeight w:val="386"/>
        </w:trPr>
        <w:tc>
          <w:tcPr>
            <w:tcW w:w="2425" w:type="dxa"/>
            <w:vAlign w:val="center"/>
          </w:tcPr>
          <w:p w14:paraId="7DDB9288" w14:textId="77777777" w:rsidR="008A17BB" w:rsidRDefault="008A17BB">
            <w:pPr>
              <w:spacing w:after="120"/>
              <w:rPr>
                <w:rFonts w:ascii="Arial" w:hAnsi="Arial" w:cs="Arial"/>
                <w:b/>
                <w:bCs/>
                <w:sz w:val="17"/>
                <w:szCs w:val="17"/>
              </w:rPr>
            </w:pPr>
            <w:r>
              <w:rPr>
                <w:rFonts w:ascii="Arial" w:hAnsi="Arial" w:cs="Arial"/>
                <w:b/>
                <w:bCs/>
                <w:sz w:val="17"/>
                <w:szCs w:val="17"/>
              </w:rPr>
              <w:t xml:space="preserve">Total Zinc Production </w:t>
            </w:r>
            <w:r w:rsidRPr="0053406F">
              <w:rPr>
                <w:rFonts w:ascii="Arial" w:hAnsi="Arial" w:cs="Arial"/>
                <w:i/>
                <w:iCs/>
                <w:sz w:val="17"/>
                <w:szCs w:val="17"/>
              </w:rPr>
              <w:t>Olympias</w:t>
            </w:r>
          </w:p>
        </w:tc>
        <w:tc>
          <w:tcPr>
            <w:tcW w:w="1912" w:type="dxa"/>
            <w:shd w:val="clear" w:color="auto" w:fill="auto"/>
            <w:vAlign w:val="center"/>
          </w:tcPr>
          <w:p w14:paraId="6B917905" w14:textId="77777777" w:rsidR="008A17BB" w:rsidRPr="00950491" w:rsidRDefault="008A17BB">
            <w:pPr>
              <w:spacing w:after="120"/>
              <w:jc w:val="center"/>
              <w:rPr>
                <w:rFonts w:ascii="Arial" w:hAnsi="Arial" w:cs="Arial"/>
                <w:b/>
                <w:bCs/>
                <w:sz w:val="17"/>
                <w:szCs w:val="17"/>
              </w:rPr>
            </w:pPr>
            <w:r w:rsidRPr="00950491">
              <w:rPr>
                <w:rFonts w:ascii="Arial" w:hAnsi="Arial" w:cs="Arial"/>
                <w:b/>
                <w:bCs/>
                <w:sz w:val="17"/>
                <w:szCs w:val="17"/>
              </w:rPr>
              <w:t>12,000 – 15,000</w:t>
            </w:r>
          </w:p>
        </w:tc>
        <w:tc>
          <w:tcPr>
            <w:tcW w:w="1913" w:type="dxa"/>
            <w:shd w:val="clear" w:color="auto" w:fill="auto"/>
            <w:vAlign w:val="center"/>
          </w:tcPr>
          <w:p w14:paraId="46DC9A58" w14:textId="77777777" w:rsidR="008A17BB" w:rsidRPr="00950491" w:rsidRDefault="008A17BB">
            <w:pPr>
              <w:spacing w:after="120"/>
              <w:jc w:val="center"/>
              <w:rPr>
                <w:rFonts w:ascii="Arial" w:hAnsi="Arial" w:cs="Arial"/>
                <w:b/>
                <w:bCs/>
                <w:sz w:val="17"/>
                <w:szCs w:val="17"/>
              </w:rPr>
            </w:pPr>
            <w:r w:rsidRPr="00950491">
              <w:rPr>
                <w:rFonts w:ascii="Arial" w:hAnsi="Arial" w:cs="Arial"/>
                <w:b/>
                <w:bCs/>
                <w:sz w:val="17"/>
                <w:szCs w:val="17"/>
              </w:rPr>
              <w:t>18,000 – 21,000</w:t>
            </w:r>
          </w:p>
        </w:tc>
        <w:tc>
          <w:tcPr>
            <w:tcW w:w="1912" w:type="dxa"/>
            <w:shd w:val="clear" w:color="auto" w:fill="auto"/>
            <w:vAlign w:val="center"/>
          </w:tcPr>
          <w:p w14:paraId="181A009B" w14:textId="77777777" w:rsidR="008A17BB" w:rsidRPr="00950491" w:rsidRDefault="008A17BB">
            <w:pPr>
              <w:spacing w:after="120"/>
              <w:jc w:val="center"/>
              <w:rPr>
                <w:rFonts w:ascii="Arial" w:hAnsi="Arial" w:cs="Arial"/>
                <w:b/>
                <w:bCs/>
                <w:sz w:val="17"/>
                <w:szCs w:val="17"/>
              </w:rPr>
            </w:pPr>
            <w:r w:rsidRPr="00950491">
              <w:rPr>
                <w:rFonts w:ascii="Arial" w:hAnsi="Arial" w:cs="Arial"/>
                <w:b/>
                <w:bCs/>
                <w:sz w:val="17"/>
                <w:szCs w:val="17"/>
              </w:rPr>
              <w:t>19,000 – 22,000</w:t>
            </w:r>
          </w:p>
        </w:tc>
        <w:tc>
          <w:tcPr>
            <w:tcW w:w="1913" w:type="dxa"/>
            <w:shd w:val="clear" w:color="auto" w:fill="EEECE1" w:themeFill="background2"/>
            <w:vAlign w:val="center"/>
          </w:tcPr>
          <w:p w14:paraId="3895FD98" w14:textId="77777777" w:rsidR="008A17BB" w:rsidRPr="006F0A41" w:rsidRDefault="008A17BB">
            <w:pPr>
              <w:spacing w:after="120"/>
              <w:jc w:val="center"/>
              <w:rPr>
                <w:rFonts w:ascii="Arial" w:hAnsi="Arial" w:cs="Arial"/>
                <w:sz w:val="17"/>
                <w:szCs w:val="17"/>
              </w:rPr>
            </w:pPr>
          </w:p>
        </w:tc>
      </w:tr>
    </w:tbl>
    <w:p w14:paraId="2E19EB9F" w14:textId="77777777" w:rsidR="008A17BB" w:rsidRPr="008A17BB" w:rsidRDefault="008A17BB" w:rsidP="008A17BB">
      <w:pPr>
        <w:pStyle w:val="ListParagraph"/>
        <w:numPr>
          <w:ilvl w:val="0"/>
          <w:numId w:val="16"/>
        </w:numPr>
        <w:spacing w:before="120"/>
        <w:ind w:left="360"/>
        <w:contextualSpacing w:val="0"/>
        <w:jc w:val="both"/>
        <w:rPr>
          <w:rFonts w:ascii="Arial" w:hAnsi="Arial" w:cs="Arial"/>
          <w:sz w:val="16"/>
          <w:szCs w:val="16"/>
          <w:lang w:val="en-US"/>
        </w:rPr>
      </w:pPr>
      <w:r w:rsidRPr="008A17BB">
        <w:rPr>
          <w:rFonts w:ascii="Arial" w:hAnsi="Arial" w:cs="Arial"/>
          <w:sz w:val="16"/>
          <w:szCs w:val="16"/>
          <w:lang w:val="en-US"/>
        </w:rPr>
        <w:t xml:space="preserve">Includes expected production ounces from the second bulk sample process at Ormaque. </w:t>
      </w:r>
    </w:p>
    <w:p w14:paraId="33710350" w14:textId="77777777" w:rsidR="008A17BB" w:rsidRPr="008A17BB" w:rsidRDefault="008A17BB" w:rsidP="008A17BB">
      <w:pPr>
        <w:pStyle w:val="ListParagraph"/>
        <w:numPr>
          <w:ilvl w:val="0"/>
          <w:numId w:val="16"/>
        </w:numPr>
        <w:ind w:left="360"/>
        <w:contextualSpacing w:val="0"/>
        <w:jc w:val="both"/>
        <w:rPr>
          <w:rFonts w:ascii="Arial" w:hAnsi="Arial" w:cs="Arial"/>
          <w:sz w:val="16"/>
          <w:szCs w:val="16"/>
          <w:lang w:val="en-US"/>
        </w:rPr>
      </w:pPr>
      <w:r w:rsidRPr="008A17BB">
        <w:rPr>
          <w:rFonts w:ascii="Arial" w:hAnsi="Arial" w:cs="Arial"/>
          <w:sz w:val="16"/>
          <w:szCs w:val="16"/>
          <w:lang w:val="en-US"/>
        </w:rPr>
        <w:t>Includes expected pre-commercial production from Skouries. Skouries’ commercial production is expected in mid-2026.</w:t>
      </w:r>
    </w:p>
    <w:p w14:paraId="1198D1A8" w14:textId="77777777" w:rsidR="008A17BB" w:rsidRPr="008A17BB" w:rsidRDefault="008A17BB" w:rsidP="008A17BB">
      <w:pPr>
        <w:spacing w:after="120"/>
        <w:jc w:val="both"/>
        <w:rPr>
          <w:rFonts w:ascii="Arial" w:hAnsi="Arial" w:cs="Arial"/>
          <w:b/>
          <w:bCs/>
          <w:sz w:val="22"/>
          <w:szCs w:val="22"/>
          <w:lang w:val="en-US"/>
        </w:rPr>
      </w:pPr>
    </w:p>
    <w:p w14:paraId="2EAFD959" w14:textId="77777777" w:rsidR="008A17BB" w:rsidRPr="00664690" w:rsidRDefault="008A17BB" w:rsidP="008A17BB">
      <w:pPr>
        <w:spacing w:after="120"/>
        <w:jc w:val="both"/>
        <w:rPr>
          <w:rFonts w:ascii="Arial" w:hAnsi="Arial" w:cs="Arial"/>
          <w:b/>
          <w:bCs/>
          <w:sz w:val="20"/>
          <w:szCs w:val="20"/>
        </w:rPr>
      </w:pPr>
      <w:r w:rsidRPr="00664690">
        <w:rPr>
          <w:rFonts w:ascii="Arial" w:hAnsi="Arial" w:cs="Arial"/>
          <w:b/>
          <w:bCs/>
          <w:sz w:val="20"/>
          <w:szCs w:val="20"/>
        </w:rPr>
        <w:t>202</w:t>
      </w:r>
      <w:r>
        <w:rPr>
          <w:rFonts w:ascii="Arial" w:hAnsi="Arial" w:cs="Arial"/>
          <w:b/>
          <w:bCs/>
          <w:sz w:val="20"/>
          <w:szCs w:val="20"/>
        </w:rPr>
        <w:t>5</w:t>
      </w:r>
      <w:r w:rsidRPr="00664690">
        <w:rPr>
          <w:rFonts w:ascii="Arial" w:hAnsi="Arial" w:cs="Arial"/>
          <w:b/>
          <w:bCs/>
          <w:sz w:val="20"/>
          <w:szCs w:val="20"/>
        </w:rPr>
        <w:t xml:space="preserve"> Assumptions and Sensitivities </w:t>
      </w:r>
    </w:p>
    <w:tbl>
      <w:tblPr>
        <w:tblStyle w:val="TableGrid"/>
        <w:tblW w:w="0" w:type="auto"/>
        <w:tblLook w:val="04A0" w:firstRow="1" w:lastRow="0" w:firstColumn="1" w:lastColumn="0" w:noHBand="0" w:noVBand="1"/>
      </w:tblPr>
      <w:tblGrid>
        <w:gridCol w:w="2405"/>
        <w:gridCol w:w="1276"/>
      </w:tblGrid>
      <w:tr w:rsidR="008A17BB" w:rsidRPr="005B4B2E" w14:paraId="36093CAB" w14:textId="77777777">
        <w:trPr>
          <w:trHeight w:val="288"/>
        </w:trPr>
        <w:tc>
          <w:tcPr>
            <w:tcW w:w="3681" w:type="dxa"/>
            <w:gridSpan w:val="2"/>
            <w:shd w:val="clear" w:color="auto" w:fill="ECF8F0"/>
            <w:vAlign w:val="center"/>
          </w:tcPr>
          <w:p w14:paraId="2B31F177" w14:textId="77777777" w:rsidR="008A17BB" w:rsidRPr="008A17BB" w:rsidRDefault="008A17BB">
            <w:pPr>
              <w:spacing w:after="120"/>
              <w:rPr>
                <w:rFonts w:ascii="Arial" w:hAnsi="Arial" w:cs="Arial"/>
                <w:b/>
                <w:bCs/>
                <w:sz w:val="17"/>
                <w:szCs w:val="17"/>
                <w:lang w:val="en-US"/>
              </w:rPr>
            </w:pPr>
            <w:r w:rsidRPr="008A17BB">
              <w:rPr>
                <w:rFonts w:ascii="Arial" w:hAnsi="Arial" w:cs="Arial"/>
                <w:b/>
                <w:bCs/>
                <w:sz w:val="17"/>
                <w:szCs w:val="17"/>
                <w:lang w:val="en-US"/>
              </w:rPr>
              <w:t>Commodity and Currency Price Assumptions</w:t>
            </w:r>
          </w:p>
        </w:tc>
      </w:tr>
      <w:tr w:rsidR="008A17BB" w:rsidRPr="00664690" w14:paraId="1081F994" w14:textId="77777777">
        <w:trPr>
          <w:trHeight w:val="315"/>
        </w:trPr>
        <w:tc>
          <w:tcPr>
            <w:tcW w:w="2405" w:type="dxa"/>
          </w:tcPr>
          <w:p w14:paraId="1B694F2E" w14:textId="77777777" w:rsidR="008A17BB" w:rsidRPr="00DA472A" w:rsidRDefault="008A17BB">
            <w:pPr>
              <w:spacing w:after="120"/>
              <w:rPr>
                <w:rFonts w:ascii="Arial" w:hAnsi="Arial" w:cs="Arial"/>
                <w:b/>
                <w:bCs/>
                <w:sz w:val="17"/>
                <w:szCs w:val="17"/>
              </w:rPr>
            </w:pPr>
            <w:r w:rsidRPr="00DA472A">
              <w:rPr>
                <w:rFonts w:ascii="Arial" w:hAnsi="Arial" w:cs="Arial"/>
                <w:b/>
                <w:bCs/>
                <w:sz w:val="17"/>
                <w:szCs w:val="17"/>
              </w:rPr>
              <w:t>Gold ($/oz)</w:t>
            </w:r>
          </w:p>
        </w:tc>
        <w:tc>
          <w:tcPr>
            <w:tcW w:w="1276" w:type="dxa"/>
            <w:vAlign w:val="center"/>
          </w:tcPr>
          <w:p w14:paraId="320F5022" w14:textId="77777777" w:rsidR="008A17BB" w:rsidRPr="00DA472A" w:rsidRDefault="008A17BB">
            <w:pPr>
              <w:spacing w:after="120"/>
              <w:jc w:val="right"/>
              <w:rPr>
                <w:rFonts w:ascii="Arial" w:hAnsi="Arial" w:cs="Arial"/>
                <w:sz w:val="17"/>
                <w:szCs w:val="17"/>
              </w:rPr>
            </w:pPr>
            <w:r w:rsidRPr="00DA472A">
              <w:rPr>
                <w:rFonts w:ascii="Arial" w:hAnsi="Arial" w:cs="Arial"/>
                <w:sz w:val="17"/>
                <w:szCs w:val="17"/>
              </w:rPr>
              <w:t>2,300</w:t>
            </w:r>
          </w:p>
        </w:tc>
      </w:tr>
      <w:tr w:rsidR="008A17BB" w:rsidRPr="00664690" w14:paraId="5988873D" w14:textId="77777777">
        <w:trPr>
          <w:trHeight w:val="316"/>
        </w:trPr>
        <w:tc>
          <w:tcPr>
            <w:tcW w:w="2405" w:type="dxa"/>
          </w:tcPr>
          <w:p w14:paraId="65505258" w14:textId="77777777" w:rsidR="008A17BB" w:rsidRPr="00DA472A" w:rsidRDefault="008A17BB">
            <w:pPr>
              <w:spacing w:after="120"/>
              <w:rPr>
                <w:rFonts w:ascii="Arial" w:hAnsi="Arial" w:cs="Arial"/>
                <w:b/>
                <w:bCs/>
                <w:sz w:val="17"/>
                <w:szCs w:val="17"/>
              </w:rPr>
            </w:pPr>
            <w:r w:rsidRPr="00DA472A">
              <w:rPr>
                <w:rFonts w:ascii="Arial" w:hAnsi="Arial" w:cs="Arial"/>
                <w:b/>
                <w:bCs/>
                <w:sz w:val="17"/>
                <w:szCs w:val="17"/>
              </w:rPr>
              <w:t>Silver ($/oz)</w:t>
            </w:r>
          </w:p>
        </w:tc>
        <w:tc>
          <w:tcPr>
            <w:tcW w:w="1276" w:type="dxa"/>
            <w:vAlign w:val="center"/>
          </w:tcPr>
          <w:p w14:paraId="5573E0EB" w14:textId="77777777" w:rsidR="008A17BB" w:rsidRPr="00DA472A" w:rsidRDefault="008A17BB">
            <w:pPr>
              <w:spacing w:after="120"/>
              <w:jc w:val="right"/>
              <w:rPr>
                <w:rFonts w:ascii="Arial" w:hAnsi="Arial" w:cs="Arial"/>
                <w:sz w:val="17"/>
                <w:szCs w:val="17"/>
              </w:rPr>
            </w:pPr>
            <w:r w:rsidRPr="00DA472A">
              <w:rPr>
                <w:rFonts w:ascii="Arial" w:hAnsi="Arial" w:cs="Arial"/>
                <w:sz w:val="17"/>
                <w:szCs w:val="17"/>
              </w:rPr>
              <w:t>28.00</w:t>
            </w:r>
          </w:p>
        </w:tc>
      </w:tr>
      <w:tr w:rsidR="008A17BB" w:rsidRPr="00664690" w14:paraId="4F6FBD44" w14:textId="77777777">
        <w:trPr>
          <w:trHeight w:val="315"/>
        </w:trPr>
        <w:tc>
          <w:tcPr>
            <w:tcW w:w="2405" w:type="dxa"/>
          </w:tcPr>
          <w:p w14:paraId="65B91044" w14:textId="77777777" w:rsidR="008A17BB" w:rsidRPr="00DA472A" w:rsidRDefault="008A17BB">
            <w:pPr>
              <w:spacing w:after="120"/>
              <w:rPr>
                <w:rFonts w:ascii="Arial" w:hAnsi="Arial" w:cs="Arial"/>
                <w:b/>
                <w:bCs/>
                <w:sz w:val="17"/>
                <w:szCs w:val="17"/>
              </w:rPr>
            </w:pPr>
            <w:r w:rsidRPr="00DA472A">
              <w:rPr>
                <w:rFonts w:ascii="Arial" w:hAnsi="Arial" w:cs="Arial"/>
                <w:b/>
                <w:bCs/>
                <w:sz w:val="17"/>
                <w:szCs w:val="17"/>
              </w:rPr>
              <w:t>Lead ($/mt)</w:t>
            </w:r>
          </w:p>
        </w:tc>
        <w:tc>
          <w:tcPr>
            <w:tcW w:w="1276" w:type="dxa"/>
            <w:vAlign w:val="center"/>
          </w:tcPr>
          <w:p w14:paraId="07B1EA22" w14:textId="77777777" w:rsidR="008A17BB" w:rsidRPr="00DA472A" w:rsidRDefault="008A17BB">
            <w:pPr>
              <w:spacing w:after="120"/>
              <w:jc w:val="right"/>
              <w:rPr>
                <w:rFonts w:ascii="Arial" w:hAnsi="Arial" w:cs="Arial"/>
                <w:sz w:val="17"/>
                <w:szCs w:val="17"/>
              </w:rPr>
            </w:pPr>
            <w:r w:rsidRPr="00DA472A">
              <w:rPr>
                <w:rFonts w:ascii="Arial" w:hAnsi="Arial" w:cs="Arial"/>
                <w:sz w:val="17"/>
                <w:szCs w:val="17"/>
              </w:rPr>
              <w:t>2,050</w:t>
            </w:r>
          </w:p>
        </w:tc>
      </w:tr>
      <w:tr w:rsidR="008A17BB" w:rsidRPr="00664690" w14:paraId="7904A3ED" w14:textId="77777777">
        <w:trPr>
          <w:trHeight w:val="316"/>
        </w:trPr>
        <w:tc>
          <w:tcPr>
            <w:tcW w:w="2405" w:type="dxa"/>
          </w:tcPr>
          <w:p w14:paraId="0CBCCC46" w14:textId="77777777" w:rsidR="008A17BB" w:rsidRPr="00DA472A" w:rsidRDefault="008A17BB">
            <w:pPr>
              <w:spacing w:after="120"/>
              <w:rPr>
                <w:rFonts w:ascii="Arial" w:hAnsi="Arial" w:cs="Arial"/>
                <w:b/>
                <w:bCs/>
                <w:sz w:val="17"/>
                <w:szCs w:val="17"/>
              </w:rPr>
            </w:pPr>
            <w:r w:rsidRPr="00DA472A">
              <w:rPr>
                <w:rFonts w:ascii="Arial" w:hAnsi="Arial" w:cs="Arial"/>
                <w:b/>
                <w:bCs/>
                <w:sz w:val="17"/>
                <w:szCs w:val="17"/>
              </w:rPr>
              <w:t>Zinc ($/mt)</w:t>
            </w:r>
          </w:p>
        </w:tc>
        <w:tc>
          <w:tcPr>
            <w:tcW w:w="1276" w:type="dxa"/>
            <w:vAlign w:val="center"/>
          </w:tcPr>
          <w:p w14:paraId="41F5427E" w14:textId="77777777" w:rsidR="008A17BB" w:rsidRPr="00DA472A" w:rsidRDefault="008A17BB">
            <w:pPr>
              <w:spacing w:after="120"/>
              <w:jc w:val="right"/>
              <w:rPr>
                <w:rFonts w:ascii="Arial" w:hAnsi="Arial" w:cs="Arial"/>
                <w:sz w:val="17"/>
                <w:szCs w:val="17"/>
              </w:rPr>
            </w:pPr>
            <w:r w:rsidRPr="00DA472A">
              <w:rPr>
                <w:rFonts w:ascii="Arial" w:hAnsi="Arial" w:cs="Arial"/>
                <w:sz w:val="17"/>
                <w:szCs w:val="17"/>
              </w:rPr>
              <w:t>2,700</w:t>
            </w:r>
          </w:p>
        </w:tc>
      </w:tr>
      <w:tr w:rsidR="008A17BB" w:rsidRPr="00664690" w14:paraId="633A3F8E" w14:textId="77777777">
        <w:trPr>
          <w:trHeight w:val="315"/>
        </w:trPr>
        <w:tc>
          <w:tcPr>
            <w:tcW w:w="2405" w:type="dxa"/>
          </w:tcPr>
          <w:p w14:paraId="4211B83A" w14:textId="77777777" w:rsidR="008A17BB" w:rsidRPr="00DA472A" w:rsidRDefault="008A17BB">
            <w:pPr>
              <w:spacing w:after="120"/>
              <w:rPr>
                <w:rFonts w:ascii="Arial" w:hAnsi="Arial" w:cs="Arial"/>
                <w:b/>
                <w:bCs/>
                <w:sz w:val="17"/>
                <w:szCs w:val="17"/>
              </w:rPr>
            </w:pPr>
            <w:r w:rsidRPr="00DA472A">
              <w:rPr>
                <w:rFonts w:ascii="Arial" w:hAnsi="Arial" w:cs="Arial"/>
                <w:b/>
                <w:bCs/>
                <w:sz w:val="17"/>
                <w:szCs w:val="17"/>
              </w:rPr>
              <w:t>USD : CDN</w:t>
            </w:r>
          </w:p>
        </w:tc>
        <w:tc>
          <w:tcPr>
            <w:tcW w:w="1276" w:type="dxa"/>
            <w:vAlign w:val="center"/>
          </w:tcPr>
          <w:p w14:paraId="3CD57019" w14:textId="77777777" w:rsidR="008A17BB" w:rsidRPr="00DA472A" w:rsidRDefault="008A17BB">
            <w:pPr>
              <w:spacing w:after="120"/>
              <w:jc w:val="right"/>
              <w:rPr>
                <w:rFonts w:ascii="Arial" w:hAnsi="Arial" w:cs="Arial"/>
                <w:sz w:val="17"/>
                <w:szCs w:val="17"/>
              </w:rPr>
            </w:pPr>
            <w:r w:rsidRPr="00DA472A">
              <w:rPr>
                <w:rFonts w:ascii="Arial" w:hAnsi="Arial" w:cs="Arial"/>
                <w:sz w:val="17"/>
                <w:szCs w:val="17"/>
              </w:rPr>
              <w:t>1 : 1.33</w:t>
            </w:r>
          </w:p>
        </w:tc>
      </w:tr>
      <w:tr w:rsidR="008A17BB" w:rsidRPr="00664690" w14:paraId="5D89DEDD" w14:textId="77777777">
        <w:trPr>
          <w:trHeight w:val="316"/>
        </w:trPr>
        <w:tc>
          <w:tcPr>
            <w:tcW w:w="2405" w:type="dxa"/>
          </w:tcPr>
          <w:p w14:paraId="4CA50792" w14:textId="77777777" w:rsidR="008A17BB" w:rsidRPr="00DA472A" w:rsidRDefault="008A17BB">
            <w:pPr>
              <w:spacing w:after="120"/>
              <w:rPr>
                <w:rFonts w:ascii="Arial" w:hAnsi="Arial" w:cs="Arial"/>
                <w:b/>
                <w:bCs/>
                <w:sz w:val="17"/>
                <w:szCs w:val="17"/>
              </w:rPr>
            </w:pPr>
            <w:r w:rsidRPr="00DA472A">
              <w:rPr>
                <w:rFonts w:ascii="Arial" w:hAnsi="Arial" w:cs="Arial"/>
                <w:b/>
                <w:bCs/>
                <w:sz w:val="17"/>
                <w:szCs w:val="17"/>
              </w:rPr>
              <w:t>EUR : USD</w:t>
            </w:r>
          </w:p>
        </w:tc>
        <w:tc>
          <w:tcPr>
            <w:tcW w:w="1276" w:type="dxa"/>
            <w:vAlign w:val="center"/>
          </w:tcPr>
          <w:p w14:paraId="722055D6" w14:textId="77777777" w:rsidR="008A17BB" w:rsidRPr="00DA472A" w:rsidRDefault="008A17BB">
            <w:pPr>
              <w:spacing w:after="120"/>
              <w:jc w:val="right"/>
              <w:rPr>
                <w:rFonts w:ascii="Arial" w:hAnsi="Arial" w:cs="Arial"/>
                <w:sz w:val="17"/>
                <w:szCs w:val="17"/>
              </w:rPr>
            </w:pPr>
            <w:r w:rsidRPr="00DA472A">
              <w:rPr>
                <w:rFonts w:ascii="Arial" w:hAnsi="Arial" w:cs="Arial"/>
                <w:sz w:val="17"/>
                <w:szCs w:val="17"/>
              </w:rPr>
              <w:t>1 : 1.0</w:t>
            </w:r>
            <w:r>
              <w:rPr>
                <w:rFonts w:ascii="Arial" w:hAnsi="Arial" w:cs="Arial"/>
                <w:sz w:val="17"/>
                <w:szCs w:val="17"/>
              </w:rPr>
              <w:t>5</w:t>
            </w:r>
          </w:p>
        </w:tc>
      </w:tr>
      <w:tr w:rsidR="008A17BB" w:rsidRPr="00664690" w14:paraId="7F847DDF" w14:textId="77777777">
        <w:trPr>
          <w:trHeight w:val="315"/>
        </w:trPr>
        <w:tc>
          <w:tcPr>
            <w:tcW w:w="2405" w:type="dxa"/>
          </w:tcPr>
          <w:p w14:paraId="0D37A253" w14:textId="77777777" w:rsidR="008A17BB" w:rsidRPr="00DA472A" w:rsidRDefault="008A17BB">
            <w:pPr>
              <w:spacing w:after="120"/>
              <w:rPr>
                <w:rFonts w:ascii="Arial" w:hAnsi="Arial" w:cs="Arial"/>
                <w:b/>
                <w:bCs/>
                <w:sz w:val="17"/>
                <w:szCs w:val="17"/>
              </w:rPr>
            </w:pPr>
            <w:r w:rsidRPr="00DA472A">
              <w:rPr>
                <w:rFonts w:ascii="Arial" w:hAnsi="Arial" w:cs="Arial"/>
                <w:b/>
                <w:bCs/>
                <w:sz w:val="17"/>
                <w:szCs w:val="17"/>
              </w:rPr>
              <w:t>USD : TRY (Q1)</w:t>
            </w:r>
          </w:p>
        </w:tc>
        <w:tc>
          <w:tcPr>
            <w:tcW w:w="1276" w:type="dxa"/>
            <w:vAlign w:val="center"/>
          </w:tcPr>
          <w:p w14:paraId="2A5AFC0E" w14:textId="77777777" w:rsidR="008A17BB" w:rsidRPr="00DA472A" w:rsidRDefault="008A17BB">
            <w:pPr>
              <w:spacing w:after="120"/>
              <w:jc w:val="right"/>
              <w:rPr>
                <w:rFonts w:ascii="Arial" w:hAnsi="Arial" w:cs="Arial"/>
                <w:sz w:val="17"/>
                <w:szCs w:val="17"/>
              </w:rPr>
            </w:pPr>
            <w:r w:rsidRPr="00DA472A">
              <w:rPr>
                <w:rFonts w:ascii="Arial" w:hAnsi="Arial" w:cs="Arial"/>
                <w:sz w:val="17"/>
                <w:szCs w:val="17"/>
              </w:rPr>
              <w:t>1 : 35.00</w:t>
            </w:r>
          </w:p>
        </w:tc>
      </w:tr>
      <w:tr w:rsidR="008A17BB" w:rsidRPr="00664690" w14:paraId="62177B63" w14:textId="77777777">
        <w:trPr>
          <w:trHeight w:val="316"/>
        </w:trPr>
        <w:tc>
          <w:tcPr>
            <w:tcW w:w="2405" w:type="dxa"/>
          </w:tcPr>
          <w:p w14:paraId="18DDDD95" w14:textId="77777777" w:rsidR="008A17BB" w:rsidRPr="00DA472A" w:rsidRDefault="008A17BB">
            <w:pPr>
              <w:spacing w:after="120"/>
              <w:rPr>
                <w:rFonts w:ascii="Arial" w:hAnsi="Arial" w:cs="Arial"/>
                <w:b/>
                <w:bCs/>
                <w:sz w:val="17"/>
                <w:szCs w:val="17"/>
              </w:rPr>
            </w:pPr>
            <w:r w:rsidRPr="00DA472A">
              <w:rPr>
                <w:rFonts w:ascii="Arial" w:hAnsi="Arial" w:cs="Arial"/>
                <w:b/>
                <w:bCs/>
                <w:sz w:val="17"/>
                <w:szCs w:val="17"/>
              </w:rPr>
              <w:t>USD : TRY (Q2)</w:t>
            </w:r>
          </w:p>
        </w:tc>
        <w:tc>
          <w:tcPr>
            <w:tcW w:w="1276" w:type="dxa"/>
            <w:vAlign w:val="center"/>
          </w:tcPr>
          <w:p w14:paraId="128A637D" w14:textId="77777777" w:rsidR="008A17BB" w:rsidRPr="00DA472A" w:rsidRDefault="008A17BB">
            <w:pPr>
              <w:spacing w:after="120"/>
              <w:jc w:val="right"/>
              <w:rPr>
                <w:rFonts w:ascii="Arial" w:hAnsi="Arial" w:cs="Arial"/>
                <w:sz w:val="17"/>
                <w:szCs w:val="17"/>
              </w:rPr>
            </w:pPr>
            <w:r w:rsidRPr="00DA472A">
              <w:rPr>
                <w:rFonts w:ascii="Arial" w:hAnsi="Arial" w:cs="Arial"/>
                <w:sz w:val="17"/>
                <w:szCs w:val="17"/>
              </w:rPr>
              <w:t>1 : 37.00</w:t>
            </w:r>
          </w:p>
        </w:tc>
      </w:tr>
      <w:tr w:rsidR="008A17BB" w:rsidRPr="00664690" w14:paraId="58E27B3A" w14:textId="77777777">
        <w:trPr>
          <w:trHeight w:val="315"/>
        </w:trPr>
        <w:tc>
          <w:tcPr>
            <w:tcW w:w="2405" w:type="dxa"/>
          </w:tcPr>
          <w:p w14:paraId="39E58205" w14:textId="77777777" w:rsidR="008A17BB" w:rsidRPr="00DA472A" w:rsidRDefault="008A17BB">
            <w:pPr>
              <w:spacing w:after="120"/>
              <w:rPr>
                <w:rFonts w:ascii="Arial" w:hAnsi="Arial" w:cs="Arial"/>
                <w:b/>
                <w:bCs/>
                <w:sz w:val="17"/>
                <w:szCs w:val="17"/>
              </w:rPr>
            </w:pPr>
            <w:r w:rsidRPr="00DA472A">
              <w:rPr>
                <w:rFonts w:ascii="Arial" w:hAnsi="Arial" w:cs="Arial"/>
                <w:b/>
                <w:bCs/>
                <w:sz w:val="17"/>
                <w:szCs w:val="17"/>
              </w:rPr>
              <w:t>USD : TRY (Q3)</w:t>
            </w:r>
          </w:p>
        </w:tc>
        <w:tc>
          <w:tcPr>
            <w:tcW w:w="1276" w:type="dxa"/>
            <w:vAlign w:val="center"/>
          </w:tcPr>
          <w:p w14:paraId="34B9D9BA" w14:textId="77777777" w:rsidR="008A17BB" w:rsidRPr="00DA472A" w:rsidRDefault="008A17BB">
            <w:pPr>
              <w:spacing w:after="120"/>
              <w:jc w:val="right"/>
              <w:rPr>
                <w:rFonts w:ascii="Arial" w:hAnsi="Arial" w:cs="Arial"/>
                <w:sz w:val="17"/>
                <w:szCs w:val="17"/>
              </w:rPr>
            </w:pPr>
            <w:r w:rsidRPr="00DA472A">
              <w:rPr>
                <w:rFonts w:ascii="Arial" w:hAnsi="Arial" w:cs="Arial"/>
                <w:sz w:val="17"/>
                <w:szCs w:val="17"/>
              </w:rPr>
              <w:t>1 : 39.00</w:t>
            </w:r>
          </w:p>
        </w:tc>
      </w:tr>
      <w:tr w:rsidR="008A17BB" w:rsidRPr="00664690" w14:paraId="1216D7BF" w14:textId="77777777">
        <w:trPr>
          <w:trHeight w:val="316"/>
        </w:trPr>
        <w:tc>
          <w:tcPr>
            <w:tcW w:w="2405" w:type="dxa"/>
          </w:tcPr>
          <w:p w14:paraId="039E44EE" w14:textId="77777777" w:rsidR="008A17BB" w:rsidRPr="00DA472A" w:rsidRDefault="008A17BB">
            <w:pPr>
              <w:spacing w:after="120"/>
              <w:rPr>
                <w:rFonts w:ascii="Arial" w:hAnsi="Arial" w:cs="Arial"/>
                <w:b/>
                <w:bCs/>
                <w:sz w:val="17"/>
                <w:szCs w:val="17"/>
              </w:rPr>
            </w:pPr>
            <w:r w:rsidRPr="00DA472A">
              <w:rPr>
                <w:rFonts w:ascii="Arial" w:hAnsi="Arial" w:cs="Arial"/>
                <w:b/>
                <w:bCs/>
                <w:sz w:val="17"/>
                <w:szCs w:val="17"/>
              </w:rPr>
              <w:t>USD : TRY (Q4)</w:t>
            </w:r>
          </w:p>
        </w:tc>
        <w:tc>
          <w:tcPr>
            <w:tcW w:w="1276" w:type="dxa"/>
            <w:vAlign w:val="center"/>
          </w:tcPr>
          <w:p w14:paraId="69C6FE4E" w14:textId="77777777" w:rsidR="008A17BB" w:rsidRPr="00DA472A" w:rsidRDefault="008A17BB">
            <w:pPr>
              <w:spacing w:after="120"/>
              <w:jc w:val="right"/>
              <w:rPr>
                <w:rFonts w:ascii="Arial" w:hAnsi="Arial" w:cs="Arial"/>
                <w:sz w:val="17"/>
                <w:szCs w:val="17"/>
              </w:rPr>
            </w:pPr>
            <w:r w:rsidRPr="00DA472A">
              <w:rPr>
                <w:rFonts w:ascii="Arial" w:hAnsi="Arial" w:cs="Arial"/>
                <w:sz w:val="17"/>
                <w:szCs w:val="17"/>
              </w:rPr>
              <w:t>1 : 41.00</w:t>
            </w:r>
          </w:p>
        </w:tc>
      </w:tr>
    </w:tbl>
    <w:p w14:paraId="15CA002A" w14:textId="77777777" w:rsidR="008A17BB" w:rsidRDefault="008A17BB" w:rsidP="008A17BB">
      <w:pPr>
        <w:spacing w:after="120"/>
        <w:jc w:val="right"/>
        <w:rPr>
          <w:rFonts w:ascii="Arial" w:hAnsi="Arial" w:cs="Arial"/>
          <w:b/>
          <w:bCs/>
          <w:sz w:val="20"/>
          <w:szCs w:val="20"/>
        </w:rPr>
      </w:pPr>
    </w:p>
    <w:tbl>
      <w:tblPr>
        <w:tblStyle w:val="TableGrid"/>
        <w:tblW w:w="8343" w:type="dxa"/>
        <w:tblLook w:val="04A0" w:firstRow="1" w:lastRow="0" w:firstColumn="1" w:lastColumn="0" w:noHBand="0" w:noVBand="1"/>
      </w:tblPr>
      <w:tblGrid>
        <w:gridCol w:w="1615"/>
        <w:gridCol w:w="900"/>
        <w:gridCol w:w="1048"/>
        <w:gridCol w:w="2552"/>
        <w:gridCol w:w="2228"/>
      </w:tblGrid>
      <w:tr w:rsidR="008A17BB" w:rsidRPr="00A53579" w14:paraId="15AA4FDE" w14:textId="77777777">
        <w:trPr>
          <w:trHeight w:val="291"/>
        </w:trPr>
        <w:tc>
          <w:tcPr>
            <w:tcW w:w="1615" w:type="dxa"/>
            <w:shd w:val="clear" w:color="auto" w:fill="ECF8F0"/>
            <w:vAlign w:val="center"/>
          </w:tcPr>
          <w:p w14:paraId="017518F6" w14:textId="77777777" w:rsidR="008A17BB" w:rsidRPr="00664690" w:rsidRDefault="008A17BB">
            <w:pPr>
              <w:spacing w:after="120"/>
              <w:rPr>
                <w:rFonts w:ascii="Arial" w:hAnsi="Arial" w:cs="Arial"/>
                <w:b/>
                <w:bCs/>
                <w:sz w:val="17"/>
                <w:szCs w:val="17"/>
              </w:rPr>
            </w:pPr>
            <w:r w:rsidRPr="00664690">
              <w:rPr>
                <w:rFonts w:ascii="Arial" w:hAnsi="Arial" w:cs="Arial"/>
                <w:b/>
                <w:bCs/>
                <w:sz w:val="17"/>
                <w:szCs w:val="17"/>
              </w:rPr>
              <w:t>Sensitivities</w:t>
            </w:r>
          </w:p>
        </w:tc>
        <w:tc>
          <w:tcPr>
            <w:tcW w:w="900" w:type="dxa"/>
            <w:shd w:val="clear" w:color="auto" w:fill="ECF8F0"/>
            <w:vAlign w:val="center"/>
          </w:tcPr>
          <w:p w14:paraId="044B56B5" w14:textId="77777777" w:rsidR="008A17BB" w:rsidRPr="00664690" w:rsidRDefault="008A17BB">
            <w:pPr>
              <w:spacing w:after="120"/>
              <w:jc w:val="center"/>
              <w:rPr>
                <w:rFonts w:ascii="Arial" w:hAnsi="Arial" w:cs="Arial"/>
                <w:b/>
                <w:bCs/>
                <w:sz w:val="17"/>
                <w:szCs w:val="17"/>
              </w:rPr>
            </w:pPr>
            <w:r w:rsidRPr="00664690">
              <w:rPr>
                <w:rFonts w:ascii="Arial" w:hAnsi="Arial" w:cs="Arial"/>
                <w:b/>
                <w:bCs/>
                <w:sz w:val="17"/>
                <w:szCs w:val="17"/>
              </w:rPr>
              <w:t>202</w:t>
            </w:r>
            <w:r>
              <w:rPr>
                <w:rFonts w:ascii="Arial" w:hAnsi="Arial" w:cs="Arial"/>
                <w:b/>
                <w:bCs/>
                <w:sz w:val="17"/>
                <w:szCs w:val="17"/>
              </w:rPr>
              <w:t>5</w:t>
            </w:r>
          </w:p>
        </w:tc>
        <w:tc>
          <w:tcPr>
            <w:tcW w:w="1048" w:type="dxa"/>
            <w:shd w:val="clear" w:color="auto" w:fill="ECF8F0"/>
            <w:vAlign w:val="center"/>
          </w:tcPr>
          <w:p w14:paraId="594A2037" w14:textId="77777777" w:rsidR="008A17BB" w:rsidRPr="00664690" w:rsidRDefault="008A17BB">
            <w:pPr>
              <w:spacing w:after="120"/>
              <w:jc w:val="center"/>
              <w:rPr>
                <w:rFonts w:ascii="Arial" w:hAnsi="Arial" w:cs="Arial"/>
                <w:b/>
                <w:bCs/>
                <w:sz w:val="17"/>
                <w:szCs w:val="17"/>
              </w:rPr>
            </w:pPr>
            <w:r w:rsidRPr="00664690">
              <w:rPr>
                <w:rFonts w:ascii="Arial" w:hAnsi="Arial" w:cs="Arial"/>
                <w:b/>
                <w:bCs/>
                <w:sz w:val="17"/>
                <w:szCs w:val="17"/>
              </w:rPr>
              <w:t>Change</w:t>
            </w:r>
          </w:p>
        </w:tc>
        <w:tc>
          <w:tcPr>
            <w:tcW w:w="2552" w:type="dxa"/>
            <w:shd w:val="clear" w:color="auto" w:fill="ECF8F0"/>
            <w:vAlign w:val="center"/>
          </w:tcPr>
          <w:p w14:paraId="0BC2C7BE" w14:textId="77777777" w:rsidR="008A17BB" w:rsidRPr="008A17BB" w:rsidRDefault="008A17BB">
            <w:pPr>
              <w:spacing w:after="120"/>
              <w:jc w:val="center"/>
              <w:rPr>
                <w:rFonts w:ascii="Arial" w:hAnsi="Arial" w:cs="Arial"/>
                <w:b/>
                <w:bCs/>
                <w:sz w:val="17"/>
                <w:szCs w:val="17"/>
                <w:lang w:val="en-US"/>
              </w:rPr>
            </w:pPr>
            <w:r w:rsidRPr="008A17BB">
              <w:rPr>
                <w:rFonts w:ascii="Arial" w:hAnsi="Arial" w:cs="Arial"/>
                <w:b/>
                <w:bCs/>
                <w:sz w:val="17"/>
                <w:szCs w:val="17"/>
                <w:lang w:val="en-US"/>
              </w:rPr>
              <w:t>Operating Sites Local Currency Exposure</w:t>
            </w:r>
          </w:p>
        </w:tc>
        <w:tc>
          <w:tcPr>
            <w:tcW w:w="2228" w:type="dxa"/>
            <w:shd w:val="clear" w:color="auto" w:fill="ECF8F0"/>
            <w:vAlign w:val="center"/>
          </w:tcPr>
          <w:p w14:paraId="4A756B83" w14:textId="77777777" w:rsidR="008A17BB" w:rsidRPr="00664690" w:rsidRDefault="008A17BB">
            <w:pPr>
              <w:spacing w:after="120"/>
              <w:jc w:val="center"/>
              <w:rPr>
                <w:rFonts w:ascii="Arial" w:hAnsi="Arial" w:cs="Arial"/>
                <w:b/>
                <w:bCs/>
                <w:sz w:val="17"/>
                <w:szCs w:val="17"/>
              </w:rPr>
            </w:pPr>
            <w:r w:rsidRPr="00664690">
              <w:rPr>
                <w:rFonts w:ascii="Arial" w:hAnsi="Arial" w:cs="Arial"/>
                <w:b/>
                <w:bCs/>
                <w:sz w:val="17"/>
                <w:szCs w:val="17"/>
              </w:rPr>
              <w:t>AISC ($/oz sold)</w:t>
            </w:r>
          </w:p>
        </w:tc>
      </w:tr>
      <w:tr w:rsidR="008A17BB" w:rsidRPr="00391279" w14:paraId="79EDD119" w14:textId="77777777">
        <w:trPr>
          <w:trHeight w:val="291"/>
        </w:trPr>
        <w:tc>
          <w:tcPr>
            <w:tcW w:w="1615" w:type="dxa"/>
            <w:vAlign w:val="center"/>
          </w:tcPr>
          <w:p w14:paraId="41C6B1DE" w14:textId="77777777" w:rsidR="008A17BB" w:rsidRPr="00664690" w:rsidRDefault="008A17BB">
            <w:pPr>
              <w:spacing w:after="120"/>
              <w:rPr>
                <w:rFonts w:ascii="Arial" w:hAnsi="Arial" w:cs="Arial"/>
                <w:b/>
                <w:bCs/>
                <w:sz w:val="17"/>
                <w:szCs w:val="17"/>
              </w:rPr>
            </w:pPr>
            <w:r w:rsidRPr="00664690">
              <w:rPr>
                <w:rFonts w:ascii="Arial" w:hAnsi="Arial" w:cs="Arial"/>
                <w:b/>
                <w:bCs/>
                <w:sz w:val="17"/>
                <w:szCs w:val="17"/>
              </w:rPr>
              <w:t>Gold Price</w:t>
            </w:r>
          </w:p>
        </w:tc>
        <w:tc>
          <w:tcPr>
            <w:tcW w:w="900" w:type="dxa"/>
            <w:vAlign w:val="center"/>
          </w:tcPr>
          <w:p w14:paraId="7EA270A7" w14:textId="77777777" w:rsidR="008A17BB" w:rsidRPr="00DF635F" w:rsidRDefault="008A17BB">
            <w:pPr>
              <w:spacing w:after="120"/>
              <w:jc w:val="center"/>
              <w:rPr>
                <w:rFonts w:ascii="Arial" w:hAnsi="Arial" w:cs="Arial"/>
                <w:sz w:val="17"/>
                <w:szCs w:val="17"/>
              </w:rPr>
            </w:pPr>
            <w:r w:rsidRPr="00DF635F">
              <w:rPr>
                <w:rFonts w:ascii="Arial" w:hAnsi="Arial" w:cs="Arial"/>
                <w:sz w:val="17"/>
                <w:szCs w:val="17"/>
              </w:rPr>
              <w:t>$2,300</w:t>
            </w:r>
          </w:p>
        </w:tc>
        <w:tc>
          <w:tcPr>
            <w:tcW w:w="1048" w:type="dxa"/>
            <w:vAlign w:val="center"/>
          </w:tcPr>
          <w:p w14:paraId="38C8C329" w14:textId="77777777" w:rsidR="008A17BB" w:rsidRPr="00DF635F" w:rsidRDefault="008A17BB">
            <w:pPr>
              <w:spacing w:after="120"/>
              <w:jc w:val="center"/>
              <w:rPr>
                <w:rFonts w:ascii="Arial" w:hAnsi="Arial" w:cs="Arial"/>
                <w:sz w:val="17"/>
                <w:szCs w:val="17"/>
              </w:rPr>
            </w:pPr>
            <w:r w:rsidRPr="00DF635F">
              <w:rPr>
                <w:rFonts w:ascii="Arial" w:hAnsi="Arial" w:cs="Arial"/>
                <w:sz w:val="17"/>
                <w:szCs w:val="17"/>
              </w:rPr>
              <w:t>$100</w:t>
            </w:r>
          </w:p>
        </w:tc>
        <w:tc>
          <w:tcPr>
            <w:tcW w:w="2552" w:type="dxa"/>
            <w:shd w:val="clear" w:color="auto" w:fill="EEECE1" w:themeFill="background2"/>
            <w:vAlign w:val="center"/>
          </w:tcPr>
          <w:p w14:paraId="08F3C58D" w14:textId="77777777" w:rsidR="008A17BB" w:rsidRPr="00DF635F" w:rsidRDefault="008A17BB">
            <w:pPr>
              <w:spacing w:after="120"/>
              <w:jc w:val="center"/>
              <w:rPr>
                <w:rFonts w:ascii="Arial" w:hAnsi="Arial" w:cs="Arial"/>
                <w:sz w:val="17"/>
                <w:szCs w:val="17"/>
              </w:rPr>
            </w:pPr>
          </w:p>
        </w:tc>
        <w:tc>
          <w:tcPr>
            <w:tcW w:w="2228" w:type="dxa"/>
            <w:shd w:val="clear" w:color="auto" w:fill="auto"/>
            <w:vAlign w:val="center"/>
          </w:tcPr>
          <w:p w14:paraId="0AEE7AE8" w14:textId="77777777" w:rsidR="008A17BB" w:rsidRPr="00DF635F" w:rsidRDefault="008A17BB">
            <w:pPr>
              <w:spacing w:after="120"/>
              <w:jc w:val="right"/>
              <w:rPr>
                <w:rFonts w:ascii="Arial" w:hAnsi="Arial" w:cs="Arial"/>
                <w:sz w:val="17"/>
                <w:szCs w:val="17"/>
              </w:rPr>
            </w:pPr>
            <w:r w:rsidRPr="00DF635F">
              <w:rPr>
                <w:rFonts w:ascii="Arial" w:hAnsi="Arial" w:cs="Arial"/>
                <w:sz w:val="17"/>
                <w:szCs w:val="17"/>
              </w:rPr>
              <w:t>~</w:t>
            </w:r>
            <w:r>
              <w:rPr>
                <w:rFonts w:ascii="Arial" w:hAnsi="Arial" w:cs="Arial"/>
                <w:sz w:val="17"/>
                <w:szCs w:val="17"/>
              </w:rPr>
              <w:t>8</w:t>
            </w:r>
          </w:p>
        </w:tc>
      </w:tr>
      <w:tr w:rsidR="008A17BB" w:rsidRPr="00391279" w14:paraId="4FB4EB54" w14:textId="77777777">
        <w:trPr>
          <w:trHeight w:val="291"/>
        </w:trPr>
        <w:tc>
          <w:tcPr>
            <w:tcW w:w="1615" w:type="dxa"/>
            <w:vAlign w:val="center"/>
          </w:tcPr>
          <w:p w14:paraId="337B9C7A" w14:textId="77777777" w:rsidR="008A17BB" w:rsidRPr="00664690" w:rsidRDefault="008A17BB">
            <w:pPr>
              <w:spacing w:after="120"/>
              <w:rPr>
                <w:rFonts w:ascii="Arial" w:hAnsi="Arial" w:cs="Arial"/>
                <w:b/>
                <w:bCs/>
                <w:sz w:val="17"/>
                <w:szCs w:val="17"/>
              </w:rPr>
            </w:pPr>
            <w:r w:rsidRPr="00664690">
              <w:rPr>
                <w:rFonts w:ascii="Arial" w:hAnsi="Arial" w:cs="Arial"/>
                <w:b/>
                <w:bCs/>
                <w:sz w:val="17"/>
                <w:szCs w:val="17"/>
              </w:rPr>
              <w:t>USD : CDN</w:t>
            </w:r>
          </w:p>
        </w:tc>
        <w:tc>
          <w:tcPr>
            <w:tcW w:w="900" w:type="dxa"/>
            <w:vAlign w:val="center"/>
          </w:tcPr>
          <w:p w14:paraId="282EB97B" w14:textId="77777777" w:rsidR="008A17BB" w:rsidRPr="00DF635F" w:rsidRDefault="008A17BB">
            <w:pPr>
              <w:spacing w:after="120"/>
              <w:jc w:val="center"/>
              <w:rPr>
                <w:rFonts w:ascii="Arial" w:hAnsi="Arial" w:cs="Arial"/>
                <w:b/>
                <w:bCs/>
                <w:sz w:val="17"/>
                <w:szCs w:val="17"/>
              </w:rPr>
            </w:pPr>
            <w:r w:rsidRPr="00DF635F">
              <w:rPr>
                <w:rFonts w:ascii="Arial" w:hAnsi="Arial" w:cs="Arial"/>
                <w:sz w:val="17"/>
                <w:szCs w:val="17"/>
              </w:rPr>
              <w:t>1 : 1.33</w:t>
            </w:r>
          </w:p>
        </w:tc>
        <w:tc>
          <w:tcPr>
            <w:tcW w:w="1048" w:type="dxa"/>
            <w:vAlign w:val="center"/>
          </w:tcPr>
          <w:p w14:paraId="238E7043" w14:textId="77777777" w:rsidR="008A17BB" w:rsidRPr="00DF635F" w:rsidRDefault="008A17BB">
            <w:pPr>
              <w:spacing w:after="120"/>
              <w:jc w:val="center"/>
              <w:rPr>
                <w:rFonts w:ascii="Arial" w:hAnsi="Arial" w:cs="Arial"/>
                <w:sz w:val="17"/>
                <w:szCs w:val="17"/>
              </w:rPr>
            </w:pPr>
            <w:r w:rsidRPr="00DF635F">
              <w:rPr>
                <w:rFonts w:ascii="Arial" w:hAnsi="Arial" w:cs="Arial"/>
                <w:sz w:val="17"/>
                <w:szCs w:val="17"/>
              </w:rPr>
              <w:t>$0.05</w:t>
            </w:r>
          </w:p>
        </w:tc>
        <w:tc>
          <w:tcPr>
            <w:tcW w:w="2552" w:type="dxa"/>
            <w:vAlign w:val="center"/>
          </w:tcPr>
          <w:p w14:paraId="2A75863E" w14:textId="77777777" w:rsidR="008A17BB" w:rsidRPr="00DF635F" w:rsidRDefault="008A17BB">
            <w:pPr>
              <w:spacing w:after="120"/>
              <w:jc w:val="center"/>
              <w:rPr>
                <w:rFonts w:ascii="Arial" w:hAnsi="Arial" w:cs="Arial"/>
                <w:sz w:val="17"/>
                <w:szCs w:val="17"/>
              </w:rPr>
            </w:pPr>
            <w:r w:rsidRPr="00DF635F">
              <w:rPr>
                <w:rFonts w:ascii="Arial" w:hAnsi="Arial" w:cs="Arial"/>
                <w:sz w:val="17"/>
                <w:szCs w:val="17"/>
              </w:rPr>
              <w:t>9</w:t>
            </w:r>
            <w:r>
              <w:rPr>
                <w:rFonts w:ascii="Arial" w:hAnsi="Arial" w:cs="Arial"/>
                <w:sz w:val="17"/>
                <w:szCs w:val="17"/>
              </w:rPr>
              <w:t>0</w:t>
            </w:r>
            <w:r w:rsidRPr="00DF635F">
              <w:rPr>
                <w:rFonts w:ascii="Arial" w:hAnsi="Arial" w:cs="Arial"/>
                <w:sz w:val="17"/>
                <w:szCs w:val="17"/>
              </w:rPr>
              <w:t>%</w:t>
            </w:r>
          </w:p>
        </w:tc>
        <w:tc>
          <w:tcPr>
            <w:tcW w:w="2228" w:type="dxa"/>
            <w:vAlign w:val="center"/>
          </w:tcPr>
          <w:p w14:paraId="79ABD26F" w14:textId="77777777" w:rsidR="008A17BB" w:rsidRPr="00DF635F" w:rsidRDefault="008A17BB">
            <w:pPr>
              <w:spacing w:after="120"/>
              <w:jc w:val="right"/>
              <w:rPr>
                <w:rFonts w:ascii="Arial" w:hAnsi="Arial" w:cs="Arial"/>
                <w:sz w:val="17"/>
                <w:szCs w:val="17"/>
              </w:rPr>
            </w:pPr>
            <w:r w:rsidRPr="00DF635F">
              <w:rPr>
                <w:rFonts w:ascii="Arial" w:hAnsi="Arial" w:cs="Arial"/>
                <w:sz w:val="17"/>
                <w:szCs w:val="17"/>
              </w:rPr>
              <w:t>~</w:t>
            </w:r>
            <w:r>
              <w:rPr>
                <w:rFonts w:ascii="Arial" w:hAnsi="Arial" w:cs="Arial"/>
                <w:sz w:val="17"/>
                <w:szCs w:val="17"/>
              </w:rPr>
              <w:t>20</w:t>
            </w:r>
          </w:p>
        </w:tc>
      </w:tr>
      <w:tr w:rsidR="008A17BB" w:rsidRPr="00391279" w14:paraId="01E911DE" w14:textId="77777777">
        <w:trPr>
          <w:trHeight w:val="291"/>
        </w:trPr>
        <w:tc>
          <w:tcPr>
            <w:tcW w:w="1615" w:type="dxa"/>
            <w:vAlign w:val="center"/>
          </w:tcPr>
          <w:p w14:paraId="6AB4CADB" w14:textId="77777777" w:rsidR="008A17BB" w:rsidRPr="00664690" w:rsidRDefault="008A17BB">
            <w:pPr>
              <w:spacing w:after="120"/>
              <w:rPr>
                <w:rFonts w:ascii="Arial" w:hAnsi="Arial" w:cs="Arial"/>
                <w:b/>
                <w:bCs/>
                <w:sz w:val="17"/>
                <w:szCs w:val="17"/>
              </w:rPr>
            </w:pPr>
            <w:r w:rsidRPr="00664690">
              <w:rPr>
                <w:rFonts w:ascii="Arial" w:hAnsi="Arial" w:cs="Arial"/>
                <w:b/>
                <w:bCs/>
                <w:sz w:val="17"/>
                <w:szCs w:val="17"/>
              </w:rPr>
              <w:t>EUR : USD</w:t>
            </w:r>
          </w:p>
        </w:tc>
        <w:tc>
          <w:tcPr>
            <w:tcW w:w="900" w:type="dxa"/>
            <w:vAlign w:val="center"/>
          </w:tcPr>
          <w:p w14:paraId="34D72F7E" w14:textId="77777777" w:rsidR="008A17BB" w:rsidRPr="00DF635F" w:rsidRDefault="008A17BB">
            <w:pPr>
              <w:spacing w:after="120"/>
              <w:jc w:val="center"/>
              <w:rPr>
                <w:rFonts w:ascii="Arial" w:hAnsi="Arial" w:cs="Arial"/>
                <w:b/>
                <w:bCs/>
                <w:sz w:val="17"/>
                <w:szCs w:val="17"/>
              </w:rPr>
            </w:pPr>
            <w:r w:rsidRPr="00B85910">
              <w:rPr>
                <w:rFonts w:ascii="Arial" w:hAnsi="Arial" w:cs="Arial"/>
                <w:sz w:val="17"/>
                <w:szCs w:val="17"/>
              </w:rPr>
              <w:t>1 : 1.05</w:t>
            </w:r>
          </w:p>
        </w:tc>
        <w:tc>
          <w:tcPr>
            <w:tcW w:w="1048" w:type="dxa"/>
            <w:vAlign w:val="center"/>
          </w:tcPr>
          <w:p w14:paraId="3E45B8E2" w14:textId="77777777" w:rsidR="008A17BB" w:rsidRPr="00DF635F" w:rsidRDefault="008A17BB">
            <w:pPr>
              <w:spacing w:after="120"/>
              <w:jc w:val="center"/>
              <w:rPr>
                <w:rFonts w:ascii="Arial" w:hAnsi="Arial" w:cs="Arial"/>
                <w:sz w:val="17"/>
                <w:szCs w:val="17"/>
              </w:rPr>
            </w:pPr>
            <w:r w:rsidRPr="00DF635F">
              <w:rPr>
                <w:rFonts w:ascii="Arial" w:hAnsi="Arial" w:cs="Arial"/>
                <w:sz w:val="17"/>
                <w:szCs w:val="17"/>
              </w:rPr>
              <w:t>$0.05</w:t>
            </w:r>
          </w:p>
        </w:tc>
        <w:tc>
          <w:tcPr>
            <w:tcW w:w="2552" w:type="dxa"/>
            <w:vAlign w:val="center"/>
          </w:tcPr>
          <w:p w14:paraId="13D29437" w14:textId="77777777" w:rsidR="008A17BB" w:rsidRPr="00DF635F" w:rsidRDefault="008A17BB">
            <w:pPr>
              <w:spacing w:after="120"/>
              <w:jc w:val="center"/>
              <w:rPr>
                <w:rFonts w:ascii="Arial" w:hAnsi="Arial" w:cs="Arial"/>
                <w:sz w:val="17"/>
                <w:szCs w:val="17"/>
              </w:rPr>
            </w:pPr>
            <w:r w:rsidRPr="00DF635F">
              <w:rPr>
                <w:rFonts w:ascii="Arial" w:hAnsi="Arial" w:cs="Arial"/>
                <w:sz w:val="17"/>
                <w:szCs w:val="17"/>
              </w:rPr>
              <w:t>9</w:t>
            </w:r>
            <w:r>
              <w:rPr>
                <w:rFonts w:ascii="Arial" w:hAnsi="Arial" w:cs="Arial"/>
                <w:sz w:val="17"/>
                <w:szCs w:val="17"/>
              </w:rPr>
              <w:t>5</w:t>
            </w:r>
            <w:r w:rsidRPr="00DF635F">
              <w:rPr>
                <w:rFonts w:ascii="Arial" w:hAnsi="Arial" w:cs="Arial"/>
                <w:sz w:val="17"/>
                <w:szCs w:val="17"/>
              </w:rPr>
              <w:t>%</w:t>
            </w:r>
          </w:p>
        </w:tc>
        <w:tc>
          <w:tcPr>
            <w:tcW w:w="2228" w:type="dxa"/>
            <w:vAlign w:val="center"/>
          </w:tcPr>
          <w:p w14:paraId="108CBADB" w14:textId="77777777" w:rsidR="008A17BB" w:rsidRPr="00DF635F" w:rsidRDefault="008A17BB">
            <w:pPr>
              <w:spacing w:after="120"/>
              <w:jc w:val="right"/>
              <w:rPr>
                <w:rFonts w:ascii="Arial" w:hAnsi="Arial" w:cs="Arial"/>
                <w:sz w:val="17"/>
                <w:szCs w:val="17"/>
              </w:rPr>
            </w:pPr>
            <w:r w:rsidRPr="00DF635F">
              <w:rPr>
                <w:rFonts w:ascii="Arial" w:hAnsi="Arial" w:cs="Arial"/>
                <w:sz w:val="17"/>
                <w:szCs w:val="17"/>
              </w:rPr>
              <w:t>~</w:t>
            </w:r>
            <w:r>
              <w:rPr>
                <w:rFonts w:ascii="Arial" w:hAnsi="Arial" w:cs="Arial"/>
                <w:sz w:val="17"/>
                <w:szCs w:val="17"/>
              </w:rPr>
              <w:t>15</w:t>
            </w:r>
          </w:p>
        </w:tc>
      </w:tr>
    </w:tbl>
    <w:p w14:paraId="40375C48" w14:textId="77777777" w:rsidR="00D80D12" w:rsidRDefault="00D80D12" w:rsidP="00D80D12">
      <w:pPr>
        <w:widowControl w:val="0"/>
        <w:spacing w:before="200" w:after="200"/>
        <w:ind w:left="12" w:right="-25"/>
        <w:jc w:val="center"/>
        <w:rPr>
          <w:rFonts w:cstheme="minorHAnsi"/>
          <w:b/>
        </w:rPr>
      </w:pPr>
      <w:r w:rsidRPr="00074917">
        <w:rPr>
          <w:rFonts w:cstheme="minorHAnsi"/>
          <w:b/>
        </w:rPr>
        <w:lastRenderedPageBreak/>
        <w:t>###</w:t>
      </w:r>
    </w:p>
    <w:bookmarkEnd w:id="5"/>
    <w:p w14:paraId="5A6FBB05" w14:textId="77777777" w:rsidR="00AE2FF6" w:rsidRDefault="00AE2FF6" w:rsidP="0002010D">
      <w:pPr>
        <w:spacing w:after="60"/>
        <w:jc w:val="both"/>
        <w:rPr>
          <w:rFonts w:ascii="Arial" w:hAnsi="Arial" w:cs="Arial"/>
          <w:b/>
          <w:bCs/>
          <w:iCs/>
          <w:sz w:val="20"/>
          <w:szCs w:val="20"/>
        </w:rPr>
      </w:pPr>
    </w:p>
    <w:p w14:paraId="4B57F610" w14:textId="3632EB0A" w:rsidR="006344C5" w:rsidRPr="0002010D" w:rsidRDefault="00772D17" w:rsidP="0002010D">
      <w:pPr>
        <w:spacing w:after="60"/>
        <w:jc w:val="both"/>
        <w:rPr>
          <w:rFonts w:ascii="Arial" w:hAnsi="Arial" w:cs="Arial"/>
          <w:b/>
          <w:bCs/>
          <w:iCs/>
          <w:sz w:val="20"/>
          <w:szCs w:val="20"/>
        </w:rPr>
      </w:pPr>
      <w:r w:rsidRPr="0002010D">
        <w:rPr>
          <w:rFonts w:ascii="Arial" w:hAnsi="Arial" w:cs="Arial"/>
          <w:b/>
          <w:bCs/>
          <w:iCs/>
          <w:sz w:val="20"/>
          <w:szCs w:val="20"/>
        </w:rPr>
        <w:t>Σχετικά με την Eldorado</w:t>
      </w:r>
    </w:p>
    <w:p w14:paraId="4B57F611" w14:textId="77777777" w:rsidR="006344C5" w:rsidRDefault="00772D17">
      <w:pPr>
        <w:spacing w:line="269" w:lineRule="auto"/>
        <w:jc w:val="both"/>
        <w:rPr>
          <w:rFonts w:ascii="Arial" w:eastAsia="Arial" w:hAnsi="Arial" w:cs="Arial"/>
          <w:sz w:val="20"/>
        </w:rPr>
      </w:pPr>
      <w:r w:rsidRPr="006C72E6">
        <w:rPr>
          <w:rFonts w:ascii="Arial" w:eastAsia="Arial" w:hAnsi="Arial" w:cs="Arial"/>
          <w:sz w:val="20"/>
        </w:rPr>
        <w:t>Η Eldorado είναι παραγωγός χρυσού και βασικών μετάλλων με δραστηριότητες εξόρυξης, ανάπτυξης και εξερεύνησης στην Τουρκία, τον Καναδά και την Ελλάδα. Η Εταιρεία διαθέτει ένα εξειδικευμένο και αφοσιωμένο εργατικό δυναμικό, ασφαλείς και υπεύθυνες λειτουργίες, ένα χαρτοφυλάκιο περιουσιακών στοιχείων υψηλής ποιότητας και μακροχρόνιες συνεργασίες με τις τοπικές κοινότητες. Οι κοινές μετοχές της Eldorado διαπραγματεύονται στο Χρηματιστήριο του Τορόντο (TSX: ELD) και στο Χρηματιστήριο της Νέας Υόρκης (NYSE: EGO).</w:t>
      </w:r>
    </w:p>
    <w:p w14:paraId="58EF6FAA" w14:textId="77777777" w:rsidR="00D80D12" w:rsidRDefault="00D80D12">
      <w:pPr>
        <w:spacing w:line="269" w:lineRule="auto"/>
        <w:jc w:val="both"/>
        <w:rPr>
          <w:rFonts w:ascii="Arial" w:eastAsia="Arial" w:hAnsi="Arial" w:cs="Arial"/>
          <w:sz w:val="20"/>
        </w:rPr>
      </w:pPr>
    </w:p>
    <w:p w14:paraId="78D1DD2D" w14:textId="77777777" w:rsidR="00D80D12" w:rsidRDefault="00D80D12" w:rsidP="00D80D12">
      <w:pPr>
        <w:jc w:val="both"/>
        <w:rPr>
          <w:rFonts w:cstheme="minorHAnsi"/>
          <w:b/>
          <w:bCs/>
          <w:i/>
          <w:sz w:val="20"/>
          <w:szCs w:val="20"/>
          <w:u w:val="single"/>
        </w:rPr>
      </w:pPr>
    </w:p>
    <w:p w14:paraId="261EF8A4" w14:textId="77777777" w:rsidR="00D80D12" w:rsidRPr="0002010D" w:rsidRDefault="00D80D12" w:rsidP="0002010D">
      <w:pPr>
        <w:spacing w:after="60"/>
        <w:jc w:val="both"/>
        <w:rPr>
          <w:rFonts w:ascii="Arial" w:hAnsi="Arial" w:cs="Arial"/>
          <w:b/>
          <w:bCs/>
          <w:iCs/>
          <w:sz w:val="20"/>
          <w:szCs w:val="20"/>
        </w:rPr>
      </w:pPr>
      <w:r w:rsidRPr="0002010D">
        <w:rPr>
          <w:rFonts w:ascii="Arial" w:hAnsi="Arial" w:cs="Arial"/>
          <w:b/>
          <w:bCs/>
          <w:iCs/>
          <w:sz w:val="20"/>
          <w:szCs w:val="20"/>
        </w:rPr>
        <w:t>Σχετικά με την Ελληνικός Χρυσός</w:t>
      </w:r>
    </w:p>
    <w:p w14:paraId="573B4356" w14:textId="188AFBDE" w:rsidR="00D80D12" w:rsidRPr="0073274D" w:rsidRDefault="0073274D" w:rsidP="0073274D">
      <w:pPr>
        <w:spacing w:line="269" w:lineRule="auto"/>
        <w:jc w:val="both"/>
        <w:rPr>
          <w:rFonts w:ascii="Arial" w:eastAsia="Arial" w:hAnsi="Arial" w:cs="Arial"/>
          <w:sz w:val="20"/>
        </w:rPr>
      </w:pPr>
      <w:r w:rsidRPr="0073274D">
        <w:rPr>
          <w:rFonts w:ascii="Arial" w:eastAsia="Arial" w:hAnsi="Arial" w:cs="Arial"/>
          <w:sz w:val="20"/>
        </w:rPr>
        <w:t>Η Ελληνικός Χρυσός, είναι μια μεταλλευτική εταιρεία χρυσού, αργύρου, μόλυβδου και ψευδαργύρου, με έδρα την Αθήνα. Από το 2004 μέχρι και σήμερα αναπτύσσει και λειτουργεί με υπευθυνότητα, ασφάλεια και υπό τους αυστηρότερους περιβαλλοντικούς όρους τα Μεταλλεία Κασσάνδρας στη ΒΑ Χαλκιδική, τα οποία αποτελούνται από τρία μεταλλευτικά έργα: Μεταλλείο Στρατωνίου-Μαύρων Πετρών, Μεταλλείο Ολυμπιάδας, Έργο Σκουριών. Συνεχίζοντας μία μεταλλευτική ιστορία 25 αιώνων, η Ελληνικός Χρυσός επενδύει στη βιώσιμη ανάπτυξη των Μεταλλείων Κασσάνδρας δίνοντας ώθηση στην οικονομική ανάπτυξη και συμβάλλοντας στην ευημερία της τοπικής κοινωνίας με επενδύσεις που ξεπερνούν τα $3 δισ., απασχόληση πάνω από 2.000 εργαζομένων, ενεργή στήριξη των τοπικών προμηθευτών και σημαντικές επενδύσεις σε πρωτοβουλίες και έργα υποστήριξης της τοπικής κοινωνίας. Από το 2012, λειτουργεί ως θυγατρική της Eldorado Gold Corporation, μία καναδική μεταλλευτική εταιρεία με πάνω από 30 χρόνια εμπειρίας στην έρευνα, ανάπτυξη και λειτουργία μεταλλείων ανά τον κόσμο.</w:t>
      </w:r>
    </w:p>
    <w:p w14:paraId="6BDAFB75" w14:textId="77777777" w:rsidR="0073274D" w:rsidRPr="00D80D12" w:rsidRDefault="0073274D" w:rsidP="00D80D12">
      <w:pPr>
        <w:jc w:val="both"/>
        <w:rPr>
          <w:rFonts w:ascii="Arial" w:hAnsi="Arial" w:cs="Arial"/>
          <w:b/>
          <w:bCs/>
          <w:iCs/>
          <w:sz w:val="20"/>
          <w:szCs w:val="20"/>
          <w:u w:val="single"/>
        </w:rPr>
      </w:pPr>
    </w:p>
    <w:p w14:paraId="17933102" w14:textId="77777777" w:rsidR="00D80D12" w:rsidRPr="00D80D12" w:rsidRDefault="00D80D12" w:rsidP="00E50AB0">
      <w:pPr>
        <w:spacing w:after="60"/>
        <w:jc w:val="both"/>
        <w:rPr>
          <w:rFonts w:ascii="Arial" w:hAnsi="Arial" w:cs="Arial"/>
          <w:b/>
          <w:iCs/>
          <w:sz w:val="20"/>
          <w:szCs w:val="20"/>
          <w:u w:val="single"/>
        </w:rPr>
      </w:pPr>
      <w:r w:rsidRPr="00D80D12">
        <w:rPr>
          <w:rFonts w:ascii="Arial" w:hAnsi="Arial" w:cs="Arial"/>
          <w:b/>
          <w:iCs/>
          <w:sz w:val="20"/>
          <w:szCs w:val="20"/>
          <w:u w:val="single"/>
        </w:rPr>
        <w:t>Για περισσότερες πληροφορίες:</w:t>
      </w:r>
    </w:p>
    <w:p w14:paraId="04CBC963" w14:textId="77777777" w:rsidR="00D80D12" w:rsidRPr="00D80D12" w:rsidRDefault="00D80D12" w:rsidP="00E50AB0">
      <w:pPr>
        <w:jc w:val="both"/>
        <w:rPr>
          <w:rFonts w:ascii="Arial" w:hAnsi="Arial" w:cs="Arial"/>
          <w:iCs/>
          <w:sz w:val="20"/>
          <w:szCs w:val="20"/>
        </w:rPr>
      </w:pPr>
      <w:r w:rsidRPr="00D80D12">
        <w:rPr>
          <w:rFonts w:ascii="Arial" w:hAnsi="Arial" w:cs="Arial"/>
          <w:iCs/>
          <w:sz w:val="20"/>
          <w:szCs w:val="20"/>
        </w:rPr>
        <w:t xml:space="preserve">Έρικα Ξηρουχάκη, Διευθύντρια Επικοινωνίας &amp; Εταιρικών Υποθέσεων Ελλάδας, 214-6870000, </w:t>
      </w:r>
      <w:hyperlink r:id="rId12">
        <w:r w:rsidRPr="00D80D12">
          <w:rPr>
            <w:rStyle w:val="Hyperlink"/>
            <w:rFonts w:ascii="Arial" w:hAnsi="Arial" w:cs="Arial"/>
            <w:iCs/>
            <w:sz w:val="20"/>
            <w:szCs w:val="20"/>
          </w:rPr>
          <w:t>Erika.Xirouchaki@eldoradogold.com</w:t>
        </w:r>
      </w:hyperlink>
      <w:r w:rsidRPr="00D80D12">
        <w:rPr>
          <w:rFonts w:ascii="Arial" w:hAnsi="Arial" w:cs="Arial"/>
          <w:iCs/>
          <w:sz w:val="20"/>
          <w:szCs w:val="20"/>
        </w:rPr>
        <w:t xml:space="preserve"> </w:t>
      </w:r>
    </w:p>
    <w:p w14:paraId="28928C8C" w14:textId="77777777" w:rsidR="00D80D12" w:rsidRPr="006C72E6" w:rsidRDefault="00D80D12">
      <w:pPr>
        <w:spacing w:line="269" w:lineRule="auto"/>
        <w:jc w:val="both"/>
        <w:rPr>
          <w:sz w:val="20"/>
        </w:rPr>
      </w:pPr>
    </w:p>
    <w:sectPr w:rsidR="00D80D12" w:rsidRPr="006C72E6">
      <w:headerReference w:type="default" r:id="rId13"/>
      <w:footerReference w:type="default" r:id="rId14"/>
      <w:pgSz w:w="12240" w:h="15840"/>
      <w:pgMar w:top="1800" w:right="990" w:bottom="990" w:left="990" w:header="270" w:footer="27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7E7F4" w14:textId="77777777" w:rsidR="005F4916" w:rsidRPr="006C72E6" w:rsidRDefault="005F4916">
      <w:r w:rsidRPr="006C72E6">
        <w:separator/>
      </w:r>
    </w:p>
  </w:endnote>
  <w:endnote w:type="continuationSeparator" w:id="0">
    <w:p w14:paraId="08E58C26" w14:textId="77777777" w:rsidR="005F4916" w:rsidRPr="006C72E6" w:rsidRDefault="005F4916">
      <w:r w:rsidRPr="006C72E6">
        <w:continuationSeparator/>
      </w:r>
    </w:p>
  </w:endnote>
  <w:endnote w:type="continuationNotice" w:id="1">
    <w:p w14:paraId="167D6042" w14:textId="77777777" w:rsidR="005F4916" w:rsidRPr="006C72E6" w:rsidRDefault="005F4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altName w:val="Leelawadee UI"/>
    <w:panose1 w:val="02020603050405020304"/>
    <w:charset w:val="DE"/>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774460"/>
      <w:docPartObj>
        <w:docPartGallery w:val="Page Numbers (Bottom of Page)"/>
        <w:docPartUnique/>
      </w:docPartObj>
    </w:sdtPr>
    <w:sdtEndPr/>
    <w:sdtContent>
      <w:p w14:paraId="4CBC776E" w14:textId="660847E3" w:rsidR="00CC18ED" w:rsidRPr="006C72E6" w:rsidRDefault="00CC18ED">
        <w:pPr>
          <w:pStyle w:val="Footer"/>
          <w:jc w:val="right"/>
        </w:pPr>
        <w:r w:rsidRPr="006C72E6">
          <w:rPr>
            <w:rFonts w:ascii="Arial" w:hAnsi="Arial" w:cs="Arial"/>
            <w:sz w:val="20"/>
            <w:szCs w:val="20"/>
          </w:rPr>
          <w:fldChar w:fldCharType="begin"/>
        </w:r>
        <w:r w:rsidRPr="006C72E6">
          <w:rPr>
            <w:rFonts w:ascii="Arial" w:hAnsi="Arial" w:cs="Arial"/>
            <w:sz w:val="20"/>
            <w:szCs w:val="20"/>
          </w:rPr>
          <w:instrText xml:space="preserve"> PAGE   \* MERGEFORMAT </w:instrText>
        </w:r>
        <w:r w:rsidRPr="006C72E6">
          <w:rPr>
            <w:rFonts w:ascii="Arial" w:hAnsi="Arial" w:cs="Arial"/>
            <w:sz w:val="20"/>
            <w:szCs w:val="20"/>
          </w:rPr>
          <w:fldChar w:fldCharType="separate"/>
        </w:r>
        <w:r w:rsidR="005B4B2E">
          <w:rPr>
            <w:rFonts w:ascii="Arial" w:hAnsi="Arial" w:cs="Arial"/>
            <w:noProof/>
            <w:sz w:val="20"/>
            <w:szCs w:val="20"/>
          </w:rPr>
          <w:t>1</w:t>
        </w:r>
        <w:r w:rsidRPr="006C72E6">
          <w:rPr>
            <w:rFonts w:ascii="Arial" w:hAnsi="Arial" w:cs="Arial"/>
            <w:sz w:val="20"/>
            <w:szCs w:val="20"/>
          </w:rPr>
          <w:fldChar w:fldCharType="end"/>
        </w:r>
      </w:p>
    </w:sdtContent>
  </w:sdt>
  <w:p w14:paraId="4B58048C" w14:textId="06492120" w:rsidR="006344C5" w:rsidRPr="006C72E6" w:rsidRDefault="006344C5">
    <w:pPr>
      <w:spacing w:line="288" w:lineRule="auto"/>
      <w:jc w:val="center"/>
      <w:rPr>
        <w:rFonts w:ascii="Arial" w:eastAsia="Arial" w:hAnsi="Arial" w:cs="Arial"/>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BC40C" w14:textId="77777777" w:rsidR="005F4916" w:rsidRPr="006C72E6" w:rsidRDefault="005F4916">
      <w:r w:rsidRPr="006C72E6">
        <w:separator/>
      </w:r>
    </w:p>
  </w:footnote>
  <w:footnote w:type="continuationSeparator" w:id="0">
    <w:p w14:paraId="44D127A0" w14:textId="77777777" w:rsidR="005F4916" w:rsidRPr="006C72E6" w:rsidRDefault="005F4916">
      <w:r w:rsidRPr="006C72E6">
        <w:continuationSeparator/>
      </w:r>
    </w:p>
  </w:footnote>
  <w:footnote w:type="continuationNotice" w:id="1">
    <w:p w14:paraId="7A6E3552" w14:textId="77777777" w:rsidR="005F4916" w:rsidRPr="006C72E6" w:rsidRDefault="005F491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8048B" w14:textId="192724C4" w:rsidR="006344C5" w:rsidRPr="006C72E6" w:rsidRDefault="00162EFF">
    <w:pPr>
      <w:spacing w:line="288" w:lineRule="auto"/>
      <w:rPr>
        <w:rFonts w:ascii="Arial" w:eastAsia="Arial" w:hAnsi="Arial" w:cs="Arial"/>
        <w:sz w:val="20"/>
      </w:rPr>
    </w:pPr>
    <w:r w:rsidRPr="00367CE3">
      <w:rPr>
        <w:rFonts w:ascii="Arial" w:hAnsi="Arial" w:cs="Arial"/>
        <w:b/>
        <w:bCs/>
        <w:noProof/>
        <w:sz w:val="16"/>
        <w:szCs w:val="16"/>
        <w:lang w:val="en-US"/>
      </w:rPr>
      <w:drawing>
        <wp:anchor distT="0" distB="0" distL="114300" distR="114300" simplePos="0" relativeHeight="251658240" behindDoc="1" locked="0" layoutInCell="1" allowOverlap="1" wp14:anchorId="0DBA3538" wp14:editId="2B06C9AD">
          <wp:simplePos x="0" y="0"/>
          <wp:positionH relativeFrom="margin">
            <wp:align>center</wp:align>
          </wp:positionH>
          <wp:positionV relativeFrom="page">
            <wp:posOffset>381000</wp:posOffset>
          </wp:positionV>
          <wp:extent cx="3279600" cy="273600"/>
          <wp:effectExtent l="0" t="0" r="0" b="0"/>
          <wp:wrapTight wrapText="bothSides">
            <wp:wrapPolygon edited="0">
              <wp:start x="125" y="0"/>
              <wp:lineTo x="0" y="4521"/>
              <wp:lineTo x="0" y="16577"/>
              <wp:lineTo x="627" y="19591"/>
              <wp:lineTo x="1506" y="19591"/>
              <wp:lineTo x="21458" y="18084"/>
              <wp:lineTo x="21458" y="0"/>
              <wp:lineTo x="1631" y="0"/>
              <wp:lineTo x="125" y="0"/>
            </wp:wrapPolygon>
          </wp:wrapTight>
          <wp:docPr id="845807208" name="Picture 845807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3279600" cy="27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13" w15:restartNumberingAfterBreak="0">
    <w:nsid w:val="00810144"/>
    <w:multiLevelType w:val="hybridMultilevel"/>
    <w:tmpl w:val="539629AC"/>
    <w:lvl w:ilvl="0" w:tplc="04090001">
      <w:start w:val="1"/>
      <w:numFmt w:val="bullet"/>
      <w:lvlText w:val=""/>
      <w:lvlJc w:val="left"/>
      <w:pPr>
        <w:ind w:left="1583" w:hanging="360"/>
      </w:pPr>
      <w:rPr>
        <w:rFonts w:ascii="Symbol" w:hAnsi="Symbol" w:hint="default"/>
      </w:rPr>
    </w:lvl>
    <w:lvl w:ilvl="1" w:tplc="04090003">
      <w:start w:val="1"/>
      <w:numFmt w:val="bullet"/>
      <w:lvlText w:val="o"/>
      <w:lvlJc w:val="left"/>
      <w:pPr>
        <w:ind w:left="2303" w:hanging="360"/>
      </w:pPr>
      <w:rPr>
        <w:rFonts w:ascii="Courier New" w:hAnsi="Courier New" w:cs="Courier New" w:hint="default"/>
      </w:rPr>
    </w:lvl>
    <w:lvl w:ilvl="2" w:tplc="04090005" w:tentative="1">
      <w:start w:val="1"/>
      <w:numFmt w:val="bullet"/>
      <w:lvlText w:val=""/>
      <w:lvlJc w:val="left"/>
      <w:pPr>
        <w:ind w:left="3023" w:hanging="360"/>
      </w:pPr>
      <w:rPr>
        <w:rFonts w:ascii="Wingdings" w:hAnsi="Wingdings" w:hint="default"/>
      </w:rPr>
    </w:lvl>
    <w:lvl w:ilvl="3" w:tplc="04090001" w:tentative="1">
      <w:start w:val="1"/>
      <w:numFmt w:val="bullet"/>
      <w:lvlText w:val=""/>
      <w:lvlJc w:val="left"/>
      <w:pPr>
        <w:ind w:left="3743" w:hanging="360"/>
      </w:pPr>
      <w:rPr>
        <w:rFonts w:ascii="Symbol" w:hAnsi="Symbol" w:hint="default"/>
      </w:rPr>
    </w:lvl>
    <w:lvl w:ilvl="4" w:tplc="04090003" w:tentative="1">
      <w:start w:val="1"/>
      <w:numFmt w:val="bullet"/>
      <w:lvlText w:val="o"/>
      <w:lvlJc w:val="left"/>
      <w:pPr>
        <w:ind w:left="4463" w:hanging="360"/>
      </w:pPr>
      <w:rPr>
        <w:rFonts w:ascii="Courier New" w:hAnsi="Courier New" w:cs="Courier New" w:hint="default"/>
      </w:rPr>
    </w:lvl>
    <w:lvl w:ilvl="5" w:tplc="04090005" w:tentative="1">
      <w:start w:val="1"/>
      <w:numFmt w:val="bullet"/>
      <w:lvlText w:val=""/>
      <w:lvlJc w:val="left"/>
      <w:pPr>
        <w:ind w:left="5183" w:hanging="360"/>
      </w:pPr>
      <w:rPr>
        <w:rFonts w:ascii="Wingdings" w:hAnsi="Wingdings" w:hint="default"/>
      </w:rPr>
    </w:lvl>
    <w:lvl w:ilvl="6" w:tplc="04090001" w:tentative="1">
      <w:start w:val="1"/>
      <w:numFmt w:val="bullet"/>
      <w:lvlText w:val=""/>
      <w:lvlJc w:val="left"/>
      <w:pPr>
        <w:ind w:left="5903" w:hanging="360"/>
      </w:pPr>
      <w:rPr>
        <w:rFonts w:ascii="Symbol" w:hAnsi="Symbol" w:hint="default"/>
      </w:rPr>
    </w:lvl>
    <w:lvl w:ilvl="7" w:tplc="04090003" w:tentative="1">
      <w:start w:val="1"/>
      <w:numFmt w:val="bullet"/>
      <w:lvlText w:val="o"/>
      <w:lvlJc w:val="left"/>
      <w:pPr>
        <w:ind w:left="6623" w:hanging="360"/>
      </w:pPr>
      <w:rPr>
        <w:rFonts w:ascii="Courier New" w:hAnsi="Courier New" w:cs="Courier New" w:hint="default"/>
      </w:rPr>
    </w:lvl>
    <w:lvl w:ilvl="8" w:tplc="04090005" w:tentative="1">
      <w:start w:val="1"/>
      <w:numFmt w:val="bullet"/>
      <w:lvlText w:val=""/>
      <w:lvlJc w:val="left"/>
      <w:pPr>
        <w:ind w:left="7343" w:hanging="360"/>
      </w:pPr>
      <w:rPr>
        <w:rFonts w:ascii="Wingdings" w:hAnsi="Wingdings" w:hint="default"/>
      </w:rPr>
    </w:lvl>
  </w:abstractNum>
  <w:abstractNum w:abstractNumId="14" w15:restartNumberingAfterBreak="0">
    <w:nsid w:val="09731EB4"/>
    <w:multiLevelType w:val="multilevel"/>
    <w:tmpl w:val="494A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D06E5D"/>
    <w:multiLevelType w:val="hybridMultilevel"/>
    <w:tmpl w:val="D55CE5A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1B9250D"/>
    <w:multiLevelType w:val="hybridMultilevel"/>
    <w:tmpl w:val="FF28703C"/>
    <w:lvl w:ilvl="0" w:tplc="9B2C8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562511"/>
    <w:multiLevelType w:val="hybridMultilevel"/>
    <w:tmpl w:val="228A7730"/>
    <w:lvl w:ilvl="0" w:tplc="CA3AB4D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69B3520"/>
    <w:multiLevelType w:val="hybridMultilevel"/>
    <w:tmpl w:val="034A80F8"/>
    <w:lvl w:ilvl="0" w:tplc="AA921870">
      <w:start w:val="72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591EBB"/>
    <w:multiLevelType w:val="hybridMultilevel"/>
    <w:tmpl w:val="285829C6"/>
    <w:lvl w:ilvl="0" w:tplc="AA921870">
      <w:start w:val="72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FC1997"/>
    <w:multiLevelType w:val="hybridMultilevel"/>
    <w:tmpl w:val="EDFEB828"/>
    <w:lvl w:ilvl="0" w:tplc="8E246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0E7DC7"/>
    <w:multiLevelType w:val="hybridMultilevel"/>
    <w:tmpl w:val="311E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62E24"/>
    <w:multiLevelType w:val="hybridMultilevel"/>
    <w:tmpl w:val="DAF21D7A"/>
    <w:lvl w:ilvl="0" w:tplc="41AE2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143AFF"/>
    <w:multiLevelType w:val="hybridMultilevel"/>
    <w:tmpl w:val="61B8356A"/>
    <w:lvl w:ilvl="0" w:tplc="CA28E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C05338"/>
    <w:multiLevelType w:val="hybridMultilevel"/>
    <w:tmpl w:val="3D185324"/>
    <w:lvl w:ilvl="0" w:tplc="E0C802FE">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4B6395"/>
    <w:multiLevelType w:val="hybridMultilevel"/>
    <w:tmpl w:val="1FBE4468"/>
    <w:lvl w:ilvl="0" w:tplc="10090001">
      <w:start w:val="1"/>
      <w:numFmt w:val="bullet"/>
      <w:lvlText w:val=""/>
      <w:lvlJc w:val="left"/>
      <w:pPr>
        <w:ind w:left="720" w:hanging="360"/>
      </w:pPr>
      <w:rPr>
        <w:rFonts w:ascii="Symbol" w:hAnsi="Symbol" w:hint="default"/>
        <w:b w:val="0"/>
        <w:bCs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0D3651"/>
    <w:multiLevelType w:val="hybridMultilevel"/>
    <w:tmpl w:val="18BC2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1803DB"/>
    <w:multiLevelType w:val="hybridMultilevel"/>
    <w:tmpl w:val="EF505F60"/>
    <w:lvl w:ilvl="0" w:tplc="5A68B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D9070C"/>
    <w:multiLevelType w:val="hybridMultilevel"/>
    <w:tmpl w:val="D89A4B6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21"/>
  </w:num>
  <w:num w:numId="15">
    <w:abstractNumId w:val="14"/>
  </w:num>
  <w:num w:numId="16">
    <w:abstractNumId w:val="22"/>
  </w:num>
  <w:num w:numId="17">
    <w:abstractNumId w:val="13"/>
  </w:num>
  <w:num w:numId="18">
    <w:abstractNumId w:val="27"/>
  </w:num>
  <w:num w:numId="19">
    <w:abstractNumId w:val="17"/>
  </w:num>
  <w:num w:numId="20">
    <w:abstractNumId w:val="20"/>
  </w:num>
  <w:num w:numId="21">
    <w:abstractNumId w:val="16"/>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4"/>
  </w:num>
  <w:num w:numId="26">
    <w:abstractNumId w:val="23"/>
  </w:num>
  <w:num w:numId="27">
    <w:abstractNumId w:val="26"/>
  </w:num>
  <w:num w:numId="28">
    <w:abstractNumId w:val="18"/>
  </w:num>
  <w:num w:numId="29">
    <w:abstractNumId w:val="19"/>
  </w:num>
  <w:num w:numId="30">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A77B3E"/>
    <w:rsid w:val="000020EF"/>
    <w:rsid w:val="00004ECE"/>
    <w:rsid w:val="0000772D"/>
    <w:rsid w:val="000078FB"/>
    <w:rsid w:val="00010488"/>
    <w:rsid w:val="00010E8F"/>
    <w:rsid w:val="000112D3"/>
    <w:rsid w:val="0001150C"/>
    <w:rsid w:val="000131F5"/>
    <w:rsid w:val="00017DA5"/>
    <w:rsid w:val="0002010D"/>
    <w:rsid w:val="00021192"/>
    <w:rsid w:val="00021582"/>
    <w:rsid w:val="0002297D"/>
    <w:rsid w:val="00022A6B"/>
    <w:rsid w:val="00023DA9"/>
    <w:rsid w:val="000241A8"/>
    <w:rsid w:val="000252AD"/>
    <w:rsid w:val="00026107"/>
    <w:rsid w:val="00026BDF"/>
    <w:rsid w:val="00026D5B"/>
    <w:rsid w:val="000307F4"/>
    <w:rsid w:val="00032CE5"/>
    <w:rsid w:val="00033396"/>
    <w:rsid w:val="00035428"/>
    <w:rsid w:val="0003773D"/>
    <w:rsid w:val="00037D20"/>
    <w:rsid w:val="00040950"/>
    <w:rsid w:val="00040FB2"/>
    <w:rsid w:val="00043D6F"/>
    <w:rsid w:val="00044CF8"/>
    <w:rsid w:val="00046BAF"/>
    <w:rsid w:val="00047143"/>
    <w:rsid w:val="00047959"/>
    <w:rsid w:val="00054DDA"/>
    <w:rsid w:val="0006155D"/>
    <w:rsid w:val="00065833"/>
    <w:rsid w:val="00066620"/>
    <w:rsid w:val="00066A4A"/>
    <w:rsid w:val="00070ABB"/>
    <w:rsid w:val="0007222C"/>
    <w:rsid w:val="000735A0"/>
    <w:rsid w:val="000744ED"/>
    <w:rsid w:val="00074701"/>
    <w:rsid w:val="00075858"/>
    <w:rsid w:val="00075E0A"/>
    <w:rsid w:val="0008036A"/>
    <w:rsid w:val="00080D67"/>
    <w:rsid w:val="00081975"/>
    <w:rsid w:val="00081AD1"/>
    <w:rsid w:val="00082652"/>
    <w:rsid w:val="000840DC"/>
    <w:rsid w:val="00084609"/>
    <w:rsid w:val="00084F97"/>
    <w:rsid w:val="00085FE9"/>
    <w:rsid w:val="00086B95"/>
    <w:rsid w:val="00087F72"/>
    <w:rsid w:val="00090A7D"/>
    <w:rsid w:val="00091CA4"/>
    <w:rsid w:val="000926A1"/>
    <w:rsid w:val="00093F61"/>
    <w:rsid w:val="000952A8"/>
    <w:rsid w:val="00095351"/>
    <w:rsid w:val="000A0107"/>
    <w:rsid w:val="000A0A91"/>
    <w:rsid w:val="000A0AE3"/>
    <w:rsid w:val="000A22A3"/>
    <w:rsid w:val="000A451B"/>
    <w:rsid w:val="000A46F3"/>
    <w:rsid w:val="000A53BB"/>
    <w:rsid w:val="000A7996"/>
    <w:rsid w:val="000A7AC7"/>
    <w:rsid w:val="000B0999"/>
    <w:rsid w:val="000B1FC9"/>
    <w:rsid w:val="000B2B81"/>
    <w:rsid w:val="000B308C"/>
    <w:rsid w:val="000B7087"/>
    <w:rsid w:val="000C25B7"/>
    <w:rsid w:val="000C3B96"/>
    <w:rsid w:val="000C43C9"/>
    <w:rsid w:val="000C5A70"/>
    <w:rsid w:val="000C71F4"/>
    <w:rsid w:val="000D09F3"/>
    <w:rsid w:val="000D2F9D"/>
    <w:rsid w:val="000D35B6"/>
    <w:rsid w:val="000D46BA"/>
    <w:rsid w:val="000D5F03"/>
    <w:rsid w:val="000D7080"/>
    <w:rsid w:val="000E144C"/>
    <w:rsid w:val="000E18E0"/>
    <w:rsid w:val="000E3E33"/>
    <w:rsid w:val="000E46D4"/>
    <w:rsid w:val="000E61E4"/>
    <w:rsid w:val="000E6262"/>
    <w:rsid w:val="000E63DB"/>
    <w:rsid w:val="000E75B7"/>
    <w:rsid w:val="000F0857"/>
    <w:rsid w:val="000F1490"/>
    <w:rsid w:val="000F19E3"/>
    <w:rsid w:val="000F2DD6"/>
    <w:rsid w:val="000F4E0F"/>
    <w:rsid w:val="000F4F1B"/>
    <w:rsid w:val="000F5818"/>
    <w:rsid w:val="000F6131"/>
    <w:rsid w:val="001017ED"/>
    <w:rsid w:val="0010181B"/>
    <w:rsid w:val="00101E56"/>
    <w:rsid w:val="001055B1"/>
    <w:rsid w:val="00110B3C"/>
    <w:rsid w:val="00111C1C"/>
    <w:rsid w:val="001124E8"/>
    <w:rsid w:val="00112C57"/>
    <w:rsid w:val="00112D48"/>
    <w:rsid w:val="00114DEE"/>
    <w:rsid w:val="00115F0F"/>
    <w:rsid w:val="00117149"/>
    <w:rsid w:val="00120A65"/>
    <w:rsid w:val="0012267E"/>
    <w:rsid w:val="001228CD"/>
    <w:rsid w:val="00122E81"/>
    <w:rsid w:val="001257B6"/>
    <w:rsid w:val="00127941"/>
    <w:rsid w:val="001305BE"/>
    <w:rsid w:val="001306F8"/>
    <w:rsid w:val="001310B2"/>
    <w:rsid w:val="00131187"/>
    <w:rsid w:val="00131E5F"/>
    <w:rsid w:val="00132DBF"/>
    <w:rsid w:val="001340A1"/>
    <w:rsid w:val="00136380"/>
    <w:rsid w:val="00137BF3"/>
    <w:rsid w:val="00140C8E"/>
    <w:rsid w:val="001415C5"/>
    <w:rsid w:val="00141649"/>
    <w:rsid w:val="00143290"/>
    <w:rsid w:val="001432CC"/>
    <w:rsid w:val="001436F3"/>
    <w:rsid w:val="0014579A"/>
    <w:rsid w:val="00145C72"/>
    <w:rsid w:val="00147FC9"/>
    <w:rsid w:val="00150A9D"/>
    <w:rsid w:val="00151CDA"/>
    <w:rsid w:val="001543A7"/>
    <w:rsid w:val="0015663A"/>
    <w:rsid w:val="00156C89"/>
    <w:rsid w:val="0016090C"/>
    <w:rsid w:val="00162A42"/>
    <w:rsid w:val="00162EFF"/>
    <w:rsid w:val="001639B5"/>
    <w:rsid w:val="00163DA5"/>
    <w:rsid w:val="00163F3D"/>
    <w:rsid w:val="00167E19"/>
    <w:rsid w:val="00170F35"/>
    <w:rsid w:val="0017161D"/>
    <w:rsid w:val="00172B0D"/>
    <w:rsid w:val="00173625"/>
    <w:rsid w:val="001745F1"/>
    <w:rsid w:val="0017637B"/>
    <w:rsid w:val="001824BD"/>
    <w:rsid w:val="00187A6F"/>
    <w:rsid w:val="0019143D"/>
    <w:rsid w:val="001915D5"/>
    <w:rsid w:val="00192C58"/>
    <w:rsid w:val="00194522"/>
    <w:rsid w:val="00194E41"/>
    <w:rsid w:val="00195294"/>
    <w:rsid w:val="00195C97"/>
    <w:rsid w:val="00197E19"/>
    <w:rsid w:val="001A04CD"/>
    <w:rsid w:val="001A09EC"/>
    <w:rsid w:val="001A3EC2"/>
    <w:rsid w:val="001A72BA"/>
    <w:rsid w:val="001A75EF"/>
    <w:rsid w:val="001A761E"/>
    <w:rsid w:val="001A772A"/>
    <w:rsid w:val="001A79A5"/>
    <w:rsid w:val="001A7BA0"/>
    <w:rsid w:val="001B0766"/>
    <w:rsid w:val="001B18F2"/>
    <w:rsid w:val="001B2BD0"/>
    <w:rsid w:val="001B2BD3"/>
    <w:rsid w:val="001B468E"/>
    <w:rsid w:val="001B528F"/>
    <w:rsid w:val="001B5D23"/>
    <w:rsid w:val="001B5DCA"/>
    <w:rsid w:val="001B5E41"/>
    <w:rsid w:val="001B6018"/>
    <w:rsid w:val="001B76A3"/>
    <w:rsid w:val="001B79AB"/>
    <w:rsid w:val="001C01A1"/>
    <w:rsid w:val="001C02DE"/>
    <w:rsid w:val="001C2749"/>
    <w:rsid w:val="001C567B"/>
    <w:rsid w:val="001C57AD"/>
    <w:rsid w:val="001C67A2"/>
    <w:rsid w:val="001C7125"/>
    <w:rsid w:val="001D1375"/>
    <w:rsid w:val="001D2D53"/>
    <w:rsid w:val="001D4587"/>
    <w:rsid w:val="001D4859"/>
    <w:rsid w:val="001D4B0D"/>
    <w:rsid w:val="001D5485"/>
    <w:rsid w:val="001D6571"/>
    <w:rsid w:val="001D692A"/>
    <w:rsid w:val="001D7C33"/>
    <w:rsid w:val="001E1975"/>
    <w:rsid w:val="001E21C9"/>
    <w:rsid w:val="001E23D8"/>
    <w:rsid w:val="001E2406"/>
    <w:rsid w:val="001E296A"/>
    <w:rsid w:val="001E3B81"/>
    <w:rsid w:val="001E6071"/>
    <w:rsid w:val="001E6976"/>
    <w:rsid w:val="001E76CF"/>
    <w:rsid w:val="001F0333"/>
    <w:rsid w:val="001F1748"/>
    <w:rsid w:val="001F1CA4"/>
    <w:rsid w:val="001F3966"/>
    <w:rsid w:val="001F3971"/>
    <w:rsid w:val="001F664A"/>
    <w:rsid w:val="001F74AC"/>
    <w:rsid w:val="00200E47"/>
    <w:rsid w:val="00200F06"/>
    <w:rsid w:val="002019D9"/>
    <w:rsid w:val="0020231A"/>
    <w:rsid w:val="002023E5"/>
    <w:rsid w:val="00204B42"/>
    <w:rsid w:val="00205641"/>
    <w:rsid w:val="00205FAC"/>
    <w:rsid w:val="0021285C"/>
    <w:rsid w:val="002128C2"/>
    <w:rsid w:val="00213678"/>
    <w:rsid w:val="00215164"/>
    <w:rsid w:val="00216A6F"/>
    <w:rsid w:val="00216B62"/>
    <w:rsid w:val="00216C81"/>
    <w:rsid w:val="00220724"/>
    <w:rsid w:val="002212AF"/>
    <w:rsid w:val="00223462"/>
    <w:rsid w:val="0022494E"/>
    <w:rsid w:val="00224CD9"/>
    <w:rsid w:val="002251E5"/>
    <w:rsid w:val="00227031"/>
    <w:rsid w:val="002300D2"/>
    <w:rsid w:val="002322CC"/>
    <w:rsid w:val="00233284"/>
    <w:rsid w:val="00233F55"/>
    <w:rsid w:val="00234335"/>
    <w:rsid w:val="002360E1"/>
    <w:rsid w:val="00237DD2"/>
    <w:rsid w:val="0024284A"/>
    <w:rsid w:val="00244795"/>
    <w:rsid w:val="00245BDE"/>
    <w:rsid w:val="0025002F"/>
    <w:rsid w:val="00250390"/>
    <w:rsid w:val="00250D55"/>
    <w:rsid w:val="002514F5"/>
    <w:rsid w:val="002525A2"/>
    <w:rsid w:val="00252636"/>
    <w:rsid w:val="002533D1"/>
    <w:rsid w:val="00255609"/>
    <w:rsid w:val="00256C28"/>
    <w:rsid w:val="002606D2"/>
    <w:rsid w:val="002609B5"/>
    <w:rsid w:val="002619F8"/>
    <w:rsid w:val="00262438"/>
    <w:rsid w:val="002635E8"/>
    <w:rsid w:val="00263D19"/>
    <w:rsid w:val="00264398"/>
    <w:rsid w:val="00264D66"/>
    <w:rsid w:val="00265501"/>
    <w:rsid w:val="002669FD"/>
    <w:rsid w:val="00267D5B"/>
    <w:rsid w:val="0027074C"/>
    <w:rsid w:val="00270B97"/>
    <w:rsid w:val="00270CAB"/>
    <w:rsid w:val="00271009"/>
    <w:rsid w:val="002710EE"/>
    <w:rsid w:val="00272BBA"/>
    <w:rsid w:val="002739BE"/>
    <w:rsid w:val="00273CE2"/>
    <w:rsid w:val="00274976"/>
    <w:rsid w:val="00276001"/>
    <w:rsid w:val="00276482"/>
    <w:rsid w:val="00276F78"/>
    <w:rsid w:val="002813D2"/>
    <w:rsid w:val="00282669"/>
    <w:rsid w:val="00283B51"/>
    <w:rsid w:val="00285844"/>
    <w:rsid w:val="002864ED"/>
    <w:rsid w:val="00287BA2"/>
    <w:rsid w:val="00291FB6"/>
    <w:rsid w:val="00292C52"/>
    <w:rsid w:val="0029456F"/>
    <w:rsid w:val="00294DF5"/>
    <w:rsid w:val="00295378"/>
    <w:rsid w:val="00295DD0"/>
    <w:rsid w:val="002A05BA"/>
    <w:rsid w:val="002A218E"/>
    <w:rsid w:val="002A2F96"/>
    <w:rsid w:val="002A6262"/>
    <w:rsid w:val="002B3089"/>
    <w:rsid w:val="002B3A07"/>
    <w:rsid w:val="002B41D7"/>
    <w:rsid w:val="002B67FE"/>
    <w:rsid w:val="002C16FF"/>
    <w:rsid w:val="002C4B01"/>
    <w:rsid w:val="002C568B"/>
    <w:rsid w:val="002C58AC"/>
    <w:rsid w:val="002C6835"/>
    <w:rsid w:val="002D09B8"/>
    <w:rsid w:val="002D0E77"/>
    <w:rsid w:val="002D30E6"/>
    <w:rsid w:val="002D3255"/>
    <w:rsid w:val="002D3B8F"/>
    <w:rsid w:val="002D4AD1"/>
    <w:rsid w:val="002D7A58"/>
    <w:rsid w:val="002D7ACB"/>
    <w:rsid w:val="002E2B29"/>
    <w:rsid w:val="002E4306"/>
    <w:rsid w:val="002E45C0"/>
    <w:rsid w:val="002E4D83"/>
    <w:rsid w:val="002E5F42"/>
    <w:rsid w:val="002E7EE6"/>
    <w:rsid w:val="002F3660"/>
    <w:rsid w:val="002F5043"/>
    <w:rsid w:val="002F58B6"/>
    <w:rsid w:val="002F66AC"/>
    <w:rsid w:val="00301251"/>
    <w:rsid w:val="003141F6"/>
    <w:rsid w:val="00314231"/>
    <w:rsid w:val="0031446D"/>
    <w:rsid w:val="003151C1"/>
    <w:rsid w:val="003156D6"/>
    <w:rsid w:val="003164A2"/>
    <w:rsid w:val="00316587"/>
    <w:rsid w:val="00316681"/>
    <w:rsid w:val="003169D6"/>
    <w:rsid w:val="0032127B"/>
    <w:rsid w:val="003213A5"/>
    <w:rsid w:val="003214D3"/>
    <w:rsid w:val="00321867"/>
    <w:rsid w:val="003263A5"/>
    <w:rsid w:val="003264EE"/>
    <w:rsid w:val="00331E85"/>
    <w:rsid w:val="00333782"/>
    <w:rsid w:val="00334520"/>
    <w:rsid w:val="00334C1E"/>
    <w:rsid w:val="00334C65"/>
    <w:rsid w:val="00334EA3"/>
    <w:rsid w:val="0033562A"/>
    <w:rsid w:val="003369E8"/>
    <w:rsid w:val="003374CA"/>
    <w:rsid w:val="0033756A"/>
    <w:rsid w:val="00337DC5"/>
    <w:rsid w:val="00337F91"/>
    <w:rsid w:val="00345AE4"/>
    <w:rsid w:val="0035044E"/>
    <w:rsid w:val="00350745"/>
    <w:rsid w:val="00350806"/>
    <w:rsid w:val="003511F8"/>
    <w:rsid w:val="00351E92"/>
    <w:rsid w:val="0035456F"/>
    <w:rsid w:val="003549B6"/>
    <w:rsid w:val="003550A8"/>
    <w:rsid w:val="0035540C"/>
    <w:rsid w:val="003604CD"/>
    <w:rsid w:val="003617D4"/>
    <w:rsid w:val="00361836"/>
    <w:rsid w:val="00361C6A"/>
    <w:rsid w:val="00361CA6"/>
    <w:rsid w:val="003628CD"/>
    <w:rsid w:val="00363189"/>
    <w:rsid w:val="003653FA"/>
    <w:rsid w:val="00365CD8"/>
    <w:rsid w:val="00366CB1"/>
    <w:rsid w:val="00366DE3"/>
    <w:rsid w:val="0036707F"/>
    <w:rsid w:val="00370C94"/>
    <w:rsid w:val="00371214"/>
    <w:rsid w:val="00371576"/>
    <w:rsid w:val="0037296A"/>
    <w:rsid w:val="00375349"/>
    <w:rsid w:val="003763A5"/>
    <w:rsid w:val="00377EE1"/>
    <w:rsid w:val="00380F3C"/>
    <w:rsid w:val="003817E4"/>
    <w:rsid w:val="00382059"/>
    <w:rsid w:val="003842A7"/>
    <w:rsid w:val="0038431A"/>
    <w:rsid w:val="0038586B"/>
    <w:rsid w:val="00386AD6"/>
    <w:rsid w:val="00386FA9"/>
    <w:rsid w:val="00393EDC"/>
    <w:rsid w:val="003941CE"/>
    <w:rsid w:val="00394BAC"/>
    <w:rsid w:val="00394C96"/>
    <w:rsid w:val="00395305"/>
    <w:rsid w:val="003A3995"/>
    <w:rsid w:val="003A5CFE"/>
    <w:rsid w:val="003A6FA7"/>
    <w:rsid w:val="003A71B0"/>
    <w:rsid w:val="003A7EAC"/>
    <w:rsid w:val="003B0329"/>
    <w:rsid w:val="003B06F7"/>
    <w:rsid w:val="003B2B28"/>
    <w:rsid w:val="003B2C48"/>
    <w:rsid w:val="003B327E"/>
    <w:rsid w:val="003B57F4"/>
    <w:rsid w:val="003B7CB8"/>
    <w:rsid w:val="003B7D33"/>
    <w:rsid w:val="003C1426"/>
    <w:rsid w:val="003C3246"/>
    <w:rsid w:val="003C360E"/>
    <w:rsid w:val="003C3B7B"/>
    <w:rsid w:val="003C3E99"/>
    <w:rsid w:val="003C3FFB"/>
    <w:rsid w:val="003C422B"/>
    <w:rsid w:val="003C5496"/>
    <w:rsid w:val="003C6CAE"/>
    <w:rsid w:val="003C7FD2"/>
    <w:rsid w:val="003D09C4"/>
    <w:rsid w:val="003D0E4A"/>
    <w:rsid w:val="003D0F1B"/>
    <w:rsid w:val="003E5173"/>
    <w:rsid w:val="003E679B"/>
    <w:rsid w:val="003E796C"/>
    <w:rsid w:val="003F0439"/>
    <w:rsid w:val="003F05BF"/>
    <w:rsid w:val="003F1F0E"/>
    <w:rsid w:val="003F1F9A"/>
    <w:rsid w:val="003F35EB"/>
    <w:rsid w:val="003F47D2"/>
    <w:rsid w:val="003F5327"/>
    <w:rsid w:val="003F56B0"/>
    <w:rsid w:val="003F62CC"/>
    <w:rsid w:val="0040038B"/>
    <w:rsid w:val="004007E0"/>
    <w:rsid w:val="0040309A"/>
    <w:rsid w:val="00403D6B"/>
    <w:rsid w:val="00404BB1"/>
    <w:rsid w:val="00405B6C"/>
    <w:rsid w:val="00405F92"/>
    <w:rsid w:val="004103CC"/>
    <w:rsid w:val="00413A71"/>
    <w:rsid w:val="004168B1"/>
    <w:rsid w:val="00417189"/>
    <w:rsid w:val="00417325"/>
    <w:rsid w:val="004178DC"/>
    <w:rsid w:val="00417DE9"/>
    <w:rsid w:val="00421D6F"/>
    <w:rsid w:val="00422760"/>
    <w:rsid w:val="004231BC"/>
    <w:rsid w:val="00424DC9"/>
    <w:rsid w:val="00432025"/>
    <w:rsid w:val="00432954"/>
    <w:rsid w:val="00435CB4"/>
    <w:rsid w:val="00442488"/>
    <w:rsid w:val="00443412"/>
    <w:rsid w:val="004435AA"/>
    <w:rsid w:val="004465DC"/>
    <w:rsid w:val="00446E0D"/>
    <w:rsid w:val="00450DE2"/>
    <w:rsid w:val="00451673"/>
    <w:rsid w:val="00452EE0"/>
    <w:rsid w:val="00454D0E"/>
    <w:rsid w:val="00454EA7"/>
    <w:rsid w:val="00456C80"/>
    <w:rsid w:val="00461FE4"/>
    <w:rsid w:val="004621E1"/>
    <w:rsid w:val="0046285B"/>
    <w:rsid w:val="00462E4C"/>
    <w:rsid w:val="00464ABB"/>
    <w:rsid w:val="004672D9"/>
    <w:rsid w:val="00470C37"/>
    <w:rsid w:val="00470E3C"/>
    <w:rsid w:val="00470E50"/>
    <w:rsid w:val="00471903"/>
    <w:rsid w:val="0047214E"/>
    <w:rsid w:val="00472A90"/>
    <w:rsid w:val="00473701"/>
    <w:rsid w:val="00474D5C"/>
    <w:rsid w:val="00475A12"/>
    <w:rsid w:val="00475FD5"/>
    <w:rsid w:val="004767DB"/>
    <w:rsid w:val="00480B65"/>
    <w:rsid w:val="00482F64"/>
    <w:rsid w:val="00483067"/>
    <w:rsid w:val="00483FFE"/>
    <w:rsid w:val="00484CB7"/>
    <w:rsid w:val="004901D2"/>
    <w:rsid w:val="00491199"/>
    <w:rsid w:val="00491DC3"/>
    <w:rsid w:val="00492261"/>
    <w:rsid w:val="00492479"/>
    <w:rsid w:val="00493CAA"/>
    <w:rsid w:val="004958E7"/>
    <w:rsid w:val="00497D64"/>
    <w:rsid w:val="004A0A0F"/>
    <w:rsid w:val="004A0E55"/>
    <w:rsid w:val="004A109B"/>
    <w:rsid w:val="004A13E6"/>
    <w:rsid w:val="004A1479"/>
    <w:rsid w:val="004A1531"/>
    <w:rsid w:val="004A6649"/>
    <w:rsid w:val="004A713D"/>
    <w:rsid w:val="004A7D64"/>
    <w:rsid w:val="004A7EDA"/>
    <w:rsid w:val="004B0B5B"/>
    <w:rsid w:val="004B0F84"/>
    <w:rsid w:val="004B1821"/>
    <w:rsid w:val="004B1D6B"/>
    <w:rsid w:val="004B26F1"/>
    <w:rsid w:val="004B4F1A"/>
    <w:rsid w:val="004B502E"/>
    <w:rsid w:val="004B6FB6"/>
    <w:rsid w:val="004B7426"/>
    <w:rsid w:val="004C02B7"/>
    <w:rsid w:val="004C4D46"/>
    <w:rsid w:val="004C4DE7"/>
    <w:rsid w:val="004C504B"/>
    <w:rsid w:val="004C6C8A"/>
    <w:rsid w:val="004D0181"/>
    <w:rsid w:val="004D52AA"/>
    <w:rsid w:val="004D68C3"/>
    <w:rsid w:val="004E0BD9"/>
    <w:rsid w:val="004E5A3D"/>
    <w:rsid w:val="004E685D"/>
    <w:rsid w:val="004F4128"/>
    <w:rsid w:val="004F47BF"/>
    <w:rsid w:val="004F60F6"/>
    <w:rsid w:val="00500824"/>
    <w:rsid w:val="0050085C"/>
    <w:rsid w:val="005024B0"/>
    <w:rsid w:val="00505FDE"/>
    <w:rsid w:val="005068C1"/>
    <w:rsid w:val="00510082"/>
    <w:rsid w:val="005111C8"/>
    <w:rsid w:val="0051186C"/>
    <w:rsid w:val="005128A8"/>
    <w:rsid w:val="005224EF"/>
    <w:rsid w:val="00523F77"/>
    <w:rsid w:val="00526259"/>
    <w:rsid w:val="00527CAF"/>
    <w:rsid w:val="00527E8D"/>
    <w:rsid w:val="0053287C"/>
    <w:rsid w:val="0053406F"/>
    <w:rsid w:val="00535ADA"/>
    <w:rsid w:val="00536C47"/>
    <w:rsid w:val="0053741E"/>
    <w:rsid w:val="00537E72"/>
    <w:rsid w:val="005415F7"/>
    <w:rsid w:val="00541B43"/>
    <w:rsid w:val="00542ABA"/>
    <w:rsid w:val="00543EE7"/>
    <w:rsid w:val="00546101"/>
    <w:rsid w:val="00547997"/>
    <w:rsid w:val="0055265C"/>
    <w:rsid w:val="00553346"/>
    <w:rsid w:val="00553812"/>
    <w:rsid w:val="00556C6D"/>
    <w:rsid w:val="005570BE"/>
    <w:rsid w:val="005615F3"/>
    <w:rsid w:val="005651CD"/>
    <w:rsid w:val="0056543C"/>
    <w:rsid w:val="00566D06"/>
    <w:rsid w:val="00566F81"/>
    <w:rsid w:val="0056701A"/>
    <w:rsid w:val="00567801"/>
    <w:rsid w:val="00567DFF"/>
    <w:rsid w:val="00577CF4"/>
    <w:rsid w:val="00580B1C"/>
    <w:rsid w:val="00580BB7"/>
    <w:rsid w:val="005815CB"/>
    <w:rsid w:val="005818F3"/>
    <w:rsid w:val="00581EDF"/>
    <w:rsid w:val="005826A3"/>
    <w:rsid w:val="00583ACC"/>
    <w:rsid w:val="00584989"/>
    <w:rsid w:val="00584A0F"/>
    <w:rsid w:val="00584B3B"/>
    <w:rsid w:val="00587451"/>
    <w:rsid w:val="00587AD9"/>
    <w:rsid w:val="005945A1"/>
    <w:rsid w:val="0059547F"/>
    <w:rsid w:val="00597175"/>
    <w:rsid w:val="005A3654"/>
    <w:rsid w:val="005A46EF"/>
    <w:rsid w:val="005A5265"/>
    <w:rsid w:val="005A607A"/>
    <w:rsid w:val="005B1D85"/>
    <w:rsid w:val="005B345E"/>
    <w:rsid w:val="005B47A8"/>
    <w:rsid w:val="005B4B2E"/>
    <w:rsid w:val="005B6F13"/>
    <w:rsid w:val="005B7B22"/>
    <w:rsid w:val="005C0144"/>
    <w:rsid w:val="005C01D7"/>
    <w:rsid w:val="005C2084"/>
    <w:rsid w:val="005C26EC"/>
    <w:rsid w:val="005C4698"/>
    <w:rsid w:val="005C52C9"/>
    <w:rsid w:val="005C7B0C"/>
    <w:rsid w:val="005D0A49"/>
    <w:rsid w:val="005D17C6"/>
    <w:rsid w:val="005D7B2C"/>
    <w:rsid w:val="005D7B5F"/>
    <w:rsid w:val="005E0DCB"/>
    <w:rsid w:val="005E0E47"/>
    <w:rsid w:val="005E4FB7"/>
    <w:rsid w:val="005E5CB6"/>
    <w:rsid w:val="005E6417"/>
    <w:rsid w:val="005E6DC8"/>
    <w:rsid w:val="005F1CCC"/>
    <w:rsid w:val="005F246B"/>
    <w:rsid w:val="005F28EC"/>
    <w:rsid w:val="005F4916"/>
    <w:rsid w:val="005F4BD8"/>
    <w:rsid w:val="005F4EC6"/>
    <w:rsid w:val="005F53F1"/>
    <w:rsid w:val="005F567F"/>
    <w:rsid w:val="005F65F1"/>
    <w:rsid w:val="005F681B"/>
    <w:rsid w:val="005F7A92"/>
    <w:rsid w:val="00600E4F"/>
    <w:rsid w:val="00603DF6"/>
    <w:rsid w:val="00604351"/>
    <w:rsid w:val="00604517"/>
    <w:rsid w:val="006053E4"/>
    <w:rsid w:val="0060589F"/>
    <w:rsid w:val="00606591"/>
    <w:rsid w:val="006067D1"/>
    <w:rsid w:val="00606FAC"/>
    <w:rsid w:val="00607307"/>
    <w:rsid w:val="00610798"/>
    <w:rsid w:val="00610B50"/>
    <w:rsid w:val="006125D3"/>
    <w:rsid w:val="006153B0"/>
    <w:rsid w:val="00617ED8"/>
    <w:rsid w:val="00622013"/>
    <w:rsid w:val="006224BB"/>
    <w:rsid w:val="0062291F"/>
    <w:rsid w:val="006245FE"/>
    <w:rsid w:val="006254DB"/>
    <w:rsid w:val="0062761D"/>
    <w:rsid w:val="00630316"/>
    <w:rsid w:val="0063242F"/>
    <w:rsid w:val="006344C5"/>
    <w:rsid w:val="00636914"/>
    <w:rsid w:val="006370D5"/>
    <w:rsid w:val="00640DB2"/>
    <w:rsid w:val="00641B73"/>
    <w:rsid w:val="00641E5E"/>
    <w:rsid w:val="00641FC4"/>
    <w:rsid w:val="006420F2"/>
    <w:rsid w:val="006529A5"/>
    <w:rsid w:val="0065356B"/>
    <w:rsid w:val="0065408E"/>
    <w:rsid w:val="00655D9F"/>
    <w:rsid w:val="0065621E"/>
    <w:rsid w:val="00660310"/>
    <w:rsid w:val="00660512"/>
    <w:rsid w:val="00660B3A"/>
    <w:rsid w:val="00661810"/>
    <w:rsid w:val="00661E66"/>
    <w:rsid w:val="00661F7C"/>
    <w:rsid w:val="0067035B"/>
    <w:rsid w:val="00670C06"/>
    <w:rsid w:val="00670CAE"/>
    <w:rsid w:val="00671168"/>
    <w:rsid w:val="0067126D"/>
    <w:rsid w:val="0067303A"/>
    <w:rsid w:val="0067537C"/>
    <w:rsid w:val="00676B77"/>
    <w:rsid w:val="00680686"/>
    <w:rsid w:val="00681654"/>
    <w:rsid w:val="00681A2F"/>
    <w:rsid w:val="006841C6"/>
    <w:rsid w:val="00684A91"/>
    <w:rsid w:val="00684BAA"/>
    <w:rsid w:val="00684E7B"/>
    <w:rsid w:val="00685474"/>
    <w:rsid w:val="00685FFD"/>
    <w:rsid w:val="00686ABD"/>
    <w:rsid w:val="00687DEE"/>
    <w:rsid w:val="006907EB"/>
    <w:rsid w:val="006913F3"/>
    <w:rsid w:val="00691745"/>
    <w:rsid w:val="0069225A"/>
    <w:rsid w:val="00692625"/>
    <w:rsid w:val="0069306A"/>
    <w:rsid w:val="00693DA7"/>
    <w:rsid w:val="00695CBF"/>
    <w:rsid w:val="00695F8F"/>
    <w:rsid w:val="00696253"/>
    <w:rsid w:val="0069632B"/>
    <w:rsid w:val="00696827"/>
    <w:rsid w:val="0069767E"/>
    <w:rsid w:val="006A017E"/>
    <w:rsid w:val="006A1665"/>
    <w:rsid w:val="006A2583"/>
    <w:rsid w:val="006A3E9B"/>
    <w:rsid w:val="006A757A"/>
    <w:rsid w:val="006B0E05"/>
    <w:rsid w:val="006B2679"/>
    <w:rsid w:val="006B291F"/>
    <w:rsid w:val="006B3F6A"/>
    <w:rsid w:val="006C02C1"/>
    <w:rsid w:val="006C0A5D"/>
    <w:rsid w:val="006C3979"/>
    <w:rsid w:val="006C3FE8"/>
    <w:rsid w:val="006C72E6"/>
    <w:rsid w:val="006C76BF"/>
    <w:rsid w:val="006D066C"/>
    <w:rsid w:val="006D0B49"/>
    <w:rsid w:val="006D1606"/>
    <w:rsid w:val="006D1BF1"/>
    <w:rsid w:val="006D289A"/>
    <w:rsid w:val="006D734E"/>
    <w:rsid w:val="006D79FA"/>
    <w:rsid w:val="006E0CB7"/>
    <w:rsid w:val="006E0CCB"/>
    <w:rsid w:val="006E2D8B"/>
    <w:rsid w:val="006E2FF0"/>
    <w:rsid w:val="006E3866"/>
    <w:rsid w:val="006E55F9"/>
    <w:rsid w:val="006E5F59"/>
    <w:rsid w:val="006E6155"/>
    <w:rsid w:val="006F2212"/>
    <w:rsid w:val="006F24ED"/>
    <w:rsid w:val="006F728A"/>
    <w:rsid w:val="0070168F"/>
    <w:rsid w:val="0070235D"/>
    <w:rsid w:val="00703781"/>
    <w:rsid w:val="007045B6"/>
    <w:rsid w:val="0070486C"/>
    <w:rsid w:val="007059E6"/>
    <w:rsid w:val="00706236"/>
    <w:rsid w:val="007079FC"/>
    <w:rsid w:val="007108C9"/>
    <w:rsid w:val="00711AD0"/>
    <w:rsid w:val="0071209A"/>
    <w:rsid w:val="0071527D"/>
    <w:rsid w:val="00716A93"/>
    <w:rsid w:val="007175FB"/>
    <w:rsid w:val="007201FB"/>
    <w:rsid w:val="0072417F"/>
    <w:rsid w:val="00725305"/>
    <w:rsid w:val="0072578C"/>
    <w:rsid w:val="00727D80"/>
    <w:rsid w:val="007310C7"/>
    <w:rsid w:val="0073225E"/>
    <w:rsid w:val="0073259E"/>
    <w:rsid w:val="0073274D"/>
    <w:rsid w:val="00733FDF"/>
    <w:rsid w:val="00735912"/>
    <w:rsid w:val="0073644B"/>
    <w:rsid w:val="0073753E"/>
    <w:rsid w:val="007378C2"/>
    <w:rsid w:val="00740F17"/>
    <w:rsid w:val="00742E54"/>
    <w:rsid w:val="00744BC1"/>
    <w:rsid w:val="00744E80"/>
    <w:rsid w:val="00750F5A"/>
    <w:rsid w:val="00751A26"/>
    <w:rsid w:val="00751BB9"/>
    <w:rsid w:val="007522DD"/>
    <w:rsid w:val="00754C37"/>
    <w:rsid w:val="0076064D"/>
    <w:rsid w:val="00763692"/>
    <w:rsid w:val="0076645F"/>
    <w:rsid w:val="00770FDC"/>
    <w:rsid w:val="00772D17"/>
    <w:rsid w:val="0077527D"/>
    <w:rsid w:val="00775BBF"/>
    <w:rsid w:val="007762B3"/>
    <w:rsid w:val="00777841"/>
    <w:rsid w:val="00780310"/>
    <w:rsid w:val="007815CE"/>
    <w:rsid w:val="00782351"/>
    <w:rsid w:val="00783FDC"/>
    <w:rsid w:val="007845B2"/>
    <w:rsid w:val="00785EEA"/>
    <w:rsid w:val="007861AC"/>
    <w:rsid w:val="007871CC"/>
    <w:rsid w:val="0078763A"/>
    <w:rsid w:val="00790C6E"/>
    <w:rsid w:val="00791B35"/>
    <w:rsid w:val="007932B5"/>
    <w:rsid w:val="00793F62"/>
    <w:rsid w:val="00795DCA"/>
    <w:rsid w:val="007968FF"/>
    <w:rsid w:val="007A015C"/>
    <w:rsid w:val="007A24C9"/>
    <w:rsid w:val="007A3510"/>
    <w:rsid w:val="007A43EC"/>
    <w:rsid w:val="007A7BE5"/>
    <w:rsid w:val="007A7BEF"/>
    <w:rsid w:val="007B4356"/>
    <w:rsid w:val="007B607C"/>
    <w:rsid w:val="007B72C5"/>
    <w:rsid w:val="007C05C0"/>
    <w:rsid w:val="007C2094"/>
    <w:rsid w:val="007C2844"/>
    <w:rsid w:val="007C3746"/>
    <w:rsid w:val="007C3EEE"/>
    <w:rsid w:val="007C3F9A"/>
    <w:rsid w:val="007C5CFC"/>
    <w:rsid w:val="007D52BE"/>
    <w:rsid w:val="007D6554"/>
    <w:rsid w:val="007D7AA2"/>
    <w:rsid w:val="007E220A"/>
    <w:rsid w:val="007E2A26"/>
    <w:rsid w:val="007E40E3"/>
    <w:rsid w:val="007E46D5"/>
    <w:rsid w:val="007E5556"/>
    <w:rsid w:val="007F08F6"/>
    <w:rsid w:val="007F11D8"/>
    <w:rsid w:val="007F1E67"/>
    <w:rsid w:val="0080148D"/>
    <w:rsid w:val="0080270E"/>
    <w:rsid w:val="00802D83"/>
    <w:rsid w:val="00803BD7"/>
    <w:rsid w:val="00804252"/>
    <w:rsid w:val="00804A37"/>
    <w:rsid w:val="00812EE4"/>
    <w:rsid w:val="00815323"/>
    <w:rsid w:val="008155DE"/>
    <w:rsid w:val="008213EA"/>
    <w:rsid w:val="00821E7B"/>
    <w:rsid w:val="0082281C"/>
    <w:rsid w:val="00823A8B"/>
    <w:rsid w:val="00826604"/>
    <w:rsid w:val="0082686D"/>
    <w:rsid w:val="008310BD"/>
    <w:rsid w:val="0083141F"/>
    <w:rsid w:val="008320F1"/>
    <w:rsid w:val="008353F8"/>
    <w:rsid w:val="00840B21"/>
    <w:rsid w:val="008411E8"/>
    <w:rsid w:val="008417B4"/>
    <w:rsid w:val="00843338"/>
    <w:rsid w:val="008454F0"/>
    <w:rsid w:val="008501C3"/>
    <w:rsid w:val="00851666"/>
    <w:rsid w:val="008520B0"/>
    <w:rsid w:val="00852539"/>
    <w:rsid w:val="00852D5E"/>
    <w:rsid w:val="00855B52"/>
    <w:rsid w:val="00855BFD"/>
    <w:rsid w:val="0085714C"/>
    <w:rsid w:val="0086073B"/>
    <w:rsid w:val="00860B5B"/>
    <w:rsid w:val="00862996"/>
    <w:rsid w:val="008630A8"/>
    <w:rsid w:val="00864CE7"/>
    <w:rsid w:val="00865275"/>
    <w:rsid w:val="00865C02"/>
    <w:rsid w:val="0086723C"/>
    <w:rsid w:val="00867389"/>
    <w:rsid w:val="008703B6"/>
    <w:rsid w:val="008709A6"/>
    <w:rsid w:val="00870E96"/>
    <w:rsid w:val="00871E3E"/>
    <w:rsid w:val="008731D3"/>
    <w:rsid w:val="00873CDC"/>
    <w:rsid w:val="00875FE0"/>
    <w:rsid w:val="00876987"/>
    <w:rsid w:val="00877281"/>
    <w:rsid w:val="00880923"/>
    <w:rsid w:val="00880E6D"/>
    <w:rsid w:val="00881044"/>
    <w:rsid w:val="008810C9"/>
    <w:rsid w:val="0088150F"/>
    <w:rsid w:val="00884571"/>
    <w:rsid w:val="00884E67"/>
    <w:rsid w:val="00885033"/>
    <w:rsid w:val="00885F5E"/>
    <w:rsid w:val="00886621"/>
    <w:rsid w:val="00886801"/>
    <w:rsid w:val="00886F39"/>
    <w:rsid w:val="00887B76"/>
    <w:rsid w:val="0089076A"/>
    <w:rsid w:val="00891782"/>
    <w:rsid w:val="00893722"/>
    <w:rsid w:val="00895243"/>
    <w:rsid w:val="008964D0"/>
    <w:rsid w:val="008A057D"/>
    <w:rsid w:val="008A17BB"/>
    <w:rsid w:val="008A18F0"/>
    <w:rsid w:val="008A2A33"/>
    <w:rsid w:val="008A3302"/>
    <w:rsid w:val="008A4611"/>
    <w:rsid w:val="008A4F67"/>
    <w:rsid w:val="008A5F3A"/>
    <w:rsid w:val="008A71CE"/>
    <w:rsid w:val="008A7489"/>
    <w:rsid w:val="008B2B0A"/>
    <w:rsid w:val="008B508F"/>
    <w:rsid w:val="008B524E"/>
    <w:rsid w:val="008B7361"/>
    <w:rsid w:val="008B79D4"/>
    <w:rsid w:val="008C0CB1"/>
    <w:rsid w:val="008C114F"/>
    <w:rsid w:val="008C308E"/>
    <w:rsid w:val="008C4473"/>
    <w:rsid w:val="008C474F"/>
    <w:rsid w:val="008C4868"/>
    <w:rsid w:val="008C5DBD"/>
    <w:rsid w:val="008C6061"/>
    <w:rsid w:val="008D1AA4"/>
    <w:rsid w:val="008D2241"/>
    <w:rsid w:val="008D33A1"/>
    <w:rsid w:val="008D55CA"/>
    <w:rsid w:val="008D723F"/>
    <w:rsid w:val="008E10E4"/>
    <w:rsid w:val="008E2592"/>
    <w:rsid w:val="008E31A2"/>
    <w:rsid w:val="008E47EF"/>
    <w:rsid w:val="008E4E59"/>
    <w:rsid w:val="008E4ECA"/>
    <w:rsid w:val="008F13C9"/>
    <w:rsid w:val="008F1521"/>
    <w:rsid w:val="008F2C98"/>
    <w:rsid w:val="00900F5E"/>
    <w:rsid w:val="009078C9"/>
    <w:rsid w:val="00907CEC"/>
    <w:rsid w:val="00910DC6"/>
    <w:rsid w:val="00911D10"/>
    <w:rsid w:val="009136F4"/>
    <w:rsid w:val="00914A85"/>
    <w:rsid w:val="00914DD4"/>
    <w:rsid w:val="009158FC"/>
    <w:rsid w:val="00915A15"/>
    <w:rsid w:val="00916CE0"/>
    <w:rsid w:val="00916EC7"/>
    <w:rsid w:val="009177B3"/>
    <w:rsid w:val="00921C8E"/>
    <w:rsid w:val="00922561"/>
    <w:rsid w:val="009278E2"/>
    <w:rsid w:val="0092794C"/>
    <w:rsid w:val="00932550"/>
    <w:rsid w:val="009325C5"/>
    <w:rsid w:val="00936D06"/>
    <w:rsid w:val="00936FA1"/>
    <w:rsid w:val="00940BD3"/>
    <w:rsid w:val="009431D2"/>
    <w:rsid w:val="00943495"/>
    <w:rsid w:val="00943D58"/>
    <w:rsid w:val="009440B8"/>
    <w:rsid w:val="0094657E"/>
    <w:rsid w:val="009472A0"/>
    <w:rsid w:val="00950491"/>
    <w:rsid w:val="00951774"/>
    <w:rsid w:val="00953F54"/>
    <w:rsid w:val="00955F6E"/>
    <w:rsid w:val="0095648D"/>
    <w:rsid w:val="00956BEF"/>
    <w:rsid w:val="009576F0"/>
    <w:rsid w:val="009600D3"/>
    <w:rsid w:val="00962774"/>
    <w:rsid w:val="0096295E"/>
    <w:rsid w:val="00962CD9"/>
    <w:rsid w:val="00963EE7"/>
    <w:rsid w:val="0096670A"/>
    <w:rsid w:val="009679F0"/>
    <w:rsid w:val="0097383E"/>
    <w:rsid w:val="00974C04"/>
    <w:rsid w:val="00976E31"/>
    <w:rsid w:val="0097789F"/>
    <w:rsid w:val="0098149A"/>
    <w:rsid w:val="00982583"/>
    <w:rsid w:val="009838E5"/>
    <w:rsid w:val="00983F6A"/>
    <w:rsid w:val="009855C4"/>
    <w:rsid w:val="00987317"/>
    <w:rsid w:val="009908D7"/>
    <w:rsid w:val="00991C93"/>
    <w:rsid w:val="00992A2D"/>
    <w:rsid w:val="00992CEC"/>
    <w:rsid w:val="0099618F"/>
    <w:rsid w:val="009964AF"/>
    <w:rsid w:val="009A0731"/>
    <w:rsid w:val="009A2DDC"/>
    <w:rsid w:val="009A3C21"/>
    <w:rsid w:val="009A6596"/>
    <w:rsid w:val="009A6C27"/>
    <w:rsid w:val="009B169B"/>
    <w:rsid w:val="009B2DC8"/>
    <w:rsid w:val="009B50A4"/>
    <w:rsid w:val="009B6178"/>
    <w:rsid w:val="009C10A3"/>
    <w:rsid w:val="009C144D"/>
    <w:rsid w:val="009C3DB6"/>
    <w:rsid w:val="009C46FB"/>
    <w:rsid w:val="009C7609"/>
    <w:rsid w:val="009D09B1"/>
    <w:rsid w:val="009D0F49"/>
    <w:rsid w:val="009D26C0"/>
    <w:rsid w:val="009D4AE2"/>
    <w:rsid w:val="009E577A"/>
    <w:rsid w:val="009E6A6D"/>
    <w:rsid w:val="009E7453"/>
    <w:rsid w:val="009E7BE5"/>
    <w:rsid w:val="009F22DA"/>
    <w:rsid w:val="009F3621"/>
    <w:rsid w:val="009F3E54"/>
    <w:rsid w:val="009F5B19"/>
    <w:rsid w:val="009F5CDE"/>
    <w:rsid w:val="009F66B2"/>
    <w:rsid w:val="00A005F5"/>
    <w:rsid w:val="00A0142F"/>
    <w:rsid w:val="00A03361"/>
    <w:rsid w:val="00A0461C"/>
    <w:rsid w:val="00A04E6E"/>
    <w:rsid w:val="00A106D8"/>
    <w:rsid w:val="00A1136E"/>
    <w:rsid w:val="00A120B4"/>
    <w:rsid w:val="00A14075"/>
    <w:rsid w:val="00A15BF2"/>
    <w:rsid w:val="00A15E39"/>
    <w:rsid w:val="00A15EF5"/>
    <w:rsid w:val="00A16545"/>
    <w:rsid w:val="00A16E1A"/>
    <w:rsid w:val="00A200DC"/>
    <w:rsid w:val="00A20F1A"/>
    <w:rsid w:val="00A21FD9"/>
    <w:rsid w:val="00A22936"/>
    <w:rsid w:val="00A22B65"/>
    <w:rsid w:val="00A23F3A"/>
    <w:rsid w:val="00A24187"/>
    <w:rsid w:val="00A25223"/>
    <w:rsid w:val="00A26506"/>
    <w:rsid w:val="00A2714D"/>
    <w:rsid w:val="00A27760"/>
    <w:rsid w:val="00A3145B"/>
    <w:rsid w:val="00A325B4"/>
    <w:rsid w:val="00A3288E"/>
    <w:rsid w:val="00A34385"/>
    <w:rsid w:val="00A374B8"/>
    <w:rsid w:val="00A37E86"/>
    <w:rsid w:val="00A40E29"/>
    <w:rsid w:val="00A4179D"/>
    <w:rsid w:val="00A419F2"/>
    <w:rsid w:val="00A42067"/>
    <w:rsid w:val="00A4259A"/>
    <w:rsid w:val="00A43E2F"/>
    <w:rsid w:val="00A44A42"/>
    <w:rsid w:val="00A460DE"/>
    <w:rsid w:val="00A475C4"/>
    <w:rsid w:val="00A47E4D"/>
    <w:rsid w:val="00A51E29"/>
    <w:rsid w:val="00A52E34"/>
    <w:rsid w:val="00A54B70"/>
    <w:rsid w:val="00A56099"/>
    <w:rsid w:val="00A561FE"/>
    <w:rsid w:val="00A57505"/>
    <w:rsid w:val="00A62F97"/>
    <w:rsid w:val="00A63EC2"/>
    <w:rsid w:val="00A6413B"/>
    <w:rsid w:val="00A652B8"/>
    <w:rsid w:val="00A7237E"/>
    <w:rsid w:val="00A74B1B"/>
    <w:rsid w:val="00A77B3E"/>
    <w:rsid w:val="00A801C9"/>
    <w:rsid w:val="00A83626"/>
    <w:rsid w:val="00A8450D"/>
    <w:rsid w:val="00A848C5"/>
    <w:rsid w:val="00A862B1"/>
    <w:rsid w:val="00A91AF9"/>
    <w:rsid w:val="00A92BCA"/>
    <w:rsid w:val="00A93E5F"/>
    <w:rsid w:val="00A94599"/>
    <w:rsid w:val="00A94EA4"/>
    <w:rsid w:val="00A95C49"/>
    <w:rsid w:val="00A972A0"/>
    <w:rsid w:val="00AA0224"/>
    <w:rsid w:val="00AA4AB0"/>
    <w:rsid w:val="00AA4DB7"/>
    <w:rsid w:val="00AA6FA1"/>
    <w:rsid w:val="00AA768A"/>
    <w:rsid w:val="00AB15A1"/>
    <w:rsid w:val="00AB2E86"/>
    <w:rsid w:val="00AB307B"/>
    <w:rsid w:val="00AB3456"/>
    <w:rsid w:val="00AB5292"/>
    <w:rsid w:val="00AB6D7B"/>
    <w:rsid w:val="00AB7D1E"/>
    <w:rsid w:val="00AC032C"/>
    <w:rsid w:val="00AC0B79"/>
    <w:rsid w:val="00AC0C04"/>
    <w:rsid w:val="00AC4CC0"/>
    <w:rsid w:val="00AC5979"/>
    <w:rsid w:val="00AC6432"/>
    <w:rsid w:val="00AC7AB2"/>
    <w:rsid w:val="00AD14DC"/>
    <w:rsid w:val="00AD290F"/>
    <w:rsid w:val="00AD2B40"/>
    <w:rsid w:val="00AD5D76"/>
    <w:rsid w:val="00AD60ED"/>
    <w:rsid w:val="00AE19E9"/>
    <w:rsid w:val="00AE2FF6"/>
    <w:rsid w:val="00AE3B5C"/>
    <w:rsid w:val="00AE45CB"/>
    <w:rsid w:val="00AE4718"/>
    <w:rsid w:val="00AE5743"/>
    <w:rsid w:val="00AE73DF"/>
    <w:rsid w:val="00AF21B1"/>
    <w:rsid w:val="00AF380A"/>
    <w:rsid w:val="00AF4032"/>
    <w:rsid w:val="00AF473D"/>
    <w:rsid w:val="00AF6C30"/>
    <w:rsid w:val="00AF782E"/>
    <w:rsid w:val="00AF7AD2"/>
    <w:rsid w:val="00B01F63"/>
    <w:rsid w:val="00B02AAD"/>
    <w:rsid w:val="00B06633"/>
    <w:rsid w:val="00B10D2F"/>
    <w:rsid w:val="00B121A7"/>
    <w:rsid w:val="00B13034"/>
    <w:rsid w:val="00B137CD"/>
    <w:rsid w:val="00B145AC"/>
    <w:rsid w:val="00B14FD8"/>
    <w:rsid w:val="00B21983"/>
    <w:rsid w:val="00B26714"/>
    <w:rsid w:val="00B27344"/>
    <w:rsid w:val="00B27FD0"/>
    <w:rsid w:val="00B3112C"/>
    <w:rsid w:val="00B31DBA"/>
    <w:rsid w:val="00B33D71"/>
    <w:rsid w:val="00B33F72"/>
    <w:rsid w:val="00B34734"/>
    <w:rsid w:val="00B36527"/>
    <w:rsid w:val="00B36F65"/>
    <w:rsid w:val="00B41EE2"/>
    <w:rsid w:val="00B431F5"/>
    <w:rsid w:val="00B460FE"/>
    <w:rsid w:val="00B46788"/>
    <w:rsid w:val="00B506A6"/>
    <w:rsid w:val="00B508BD"/>
    <w:rsid w:val="00B5211F"/>
    <w:rsid w:val="00B52335"/>
    <w:rsid w:val="00B52AA6"/>
    <w:rsid w:val="00B52C83"/>
    <w:rsid w:val="00B54E62"/>
    <w:rsid w:val="00B578CD"/>
    <w:rsid w:val="00B57E3C"/>
    <w:rsid w:val="00B57F70"/>
    <w:rsid w:val="00B602E4"/>
    <w:rsid w:val="00B605A1"/>
    <w:rsid w:val="00B607FB"/>
    <w:rsid w:val="00B61D38"/>
    <w:rsid w:val="00B622FF"/>
    <w:rsid w:val="00B635F4"/>
    <w:rsid w:val="00B644FA"/>
    <w:rsid w:val="00B64AB5"/>
    <w:rsid w:val="00B650E3"/>
    <w:rsid w:val="00B65452"/>
    <w:rsid w:val="00B67898"/>
    <w:rsid w:val="00B71413"/>
    <w:rsid w:val="00B7190D"/>
    <w:rsid w:val="00B722EE"/>
    <w:rsid w:val="00B72C8A"/>
    <w:rsid w:val="00B73803"/>
    <w:rsid w:val="00B74CC0"/>
    <w:rsid w:val="00B763A1"/>
    <w:rsid w:val="00B7694C"/>
    <w:rsid w:val="00B76DA1"/>
    <w:rsid w:val="00B7715E"/>
    <w:rsid w:val="00B80271"/>
    <w:rsid w:val="00B80443"/>
    <w:rsid w:val="00B81188"/>
    <w:rsid w:val="00B81DB7"/>
    <w:rsid w:val="00B825F9"/>
    <w:rsid w:val="00B84BD5"/>
    <w:rsid w:val="00B8564C"/>
    <w:rsid w:val="00B85910"/>
    <w:rsid w:val="00B86EDD"/>
    <w:rsid w:val="00B911D1"/>
    <w:rsid w:val="00B93DA8"/>
    <w:rsid w:val="00B93F43"/>
    <w:rsid w:val="00B942E1"/>
    <w:rsid w:val="00B946E8"/>
    <w:rsid w:val="00B94EB8"/>
    <w:rsid w:val="00B96956"/>
    <w:rsid w:val="00B97164"/>
    <w:rsid w:val="00B97454"/>
    <w:rsid w:val="00B975EA"/>
    <w:rsid w:val="00BA161D"/>
    <w:rsid w:val="00BA3BA1"/>
    <w:rsid w:val="00BB01D2"/>
    <w:rsid w:val="00BB3463"/>
    <w:rsid w:val="00BB4C92"/>
    <w:rsid w:val="00BB79CB"/>
    <w:rsid w:val="00BB7F3F"/>
    <w:rsid w:val="00BC1C7C"/>
    <w:rsid w:val="00BC3AEF"/>
    <w:rsid w:val="00BC68B7"/>
    <w:rsid w:val="00BC6A4E"/>
    <w:rsid w:val="00BC77A6"/>
    <w:rsid w:val="00BC7C75"/>
    <w:rsid w:val="00BD0E50"/>
    <w:rsid w:val="00BD0FF8"/>
    <w:rsid w:val="00BD2C01"/>
    <w:rsid w:val="00BD2FA7"/>
    <w:rsid w:val="00BD3080"/>
    <w:rsid w:val="00BD3CE4"/>
    <w:rsid w:val="00BD4094"/>
    <w:rsid w:val="00BD4E23"/>
    <w:rsid w:val="00BD6C46"/>
    <w:rsid w:val="00BD6DAA"/>
    <w:rsid w:val="00BD7F0D"/>
    <w:rsid w:val="00BE0AD2"/>
    <w:rsid w:val="00BE0CF7"/>
    <w:rsid w:val="00BE1866"/>
    <w:rsid w:val="00BE377B"/>
    <w:rsid w:val="00BE5487"/>
    <w:rsid w:val="00BE6BEF"/>
    <w:rsid w:val="00BE7CB7"/>
    <w:rsid w:val="00BF0001"/>
    <w:rsid w:val="00BF033B"/>
    <w:rsid w:val="00BF0577"/>
    <w:rsid w:val="00BF0EDB"/>
    <w:rsid w:val="00BF2147"/>
    <w:rsid w:val="00BF27F5"/>
    <w:rsid w:val="00BF4E08"/>
    <w:rsid w:val="00BF72FE"/>
    <w:rsid w:val="00BF73C6"/>
    <w:rsid w:val="00BF7A8A"/>
    <w:rsid w:val="00C03AFC"/>
    <w:rsid w:val="00C03B49"/>
    <w:rsid w:val="00C03C81"/>
    <w:rsid w:val="00C04C20"/>
    <w:rsid w:val="00C113E3"/>
    <w:rsid w:val="00C11A03"/>
    <w:rsid w:val="00C1203E"/>
    <w:rsid w:val="00C12120"/>
    <w:rsid w:val="00C1226B"/>
    <w:rsid w:val="00C1321E"/>
    <w:rsid w:val="00C1363C"/>
    <w:rsid w:val="00C1442A"/>
    <w:rsid w:val="00C14937"/>
    <w:rsid w:val="00C16458"/>
    <w:rsid w:val="00C17691"/>
    <w:rsid w:val="00C21277"/>
    <w:rsid w:val="00C21C26"/>
    <w:rsid w:val="00C231BD"/>
    <w:rsid w:val="00C2367B"/>
    <w:rsid w:val="00C24570"/>
    <w:rsid w:val="00C246BD"/>
    <w:rsid w:val="00C24776"/>
    <w:rsid w:val="00C25B6A"/>
    <w:rsid w:val="00C25ED6"/>
    <w:rsid w:val="00C3184B"/>
    <w:rsid w:val="00C33217"/>
    <w:rsid w:val="00C3397C"/>
    <w:rsid w:val="00C3470E"/>
    <w:rsid w:val="00C34A1D"/>
    <w:rsid w:val="00C377A5"/>
    <w:rsid w:val="00C41DF9"/>
    <w:rsid w:val="00C4351C"/>
    <w:rsid w:val="00C4392F"/>
    <w:rsid w:val="00C44981"/>
    <w:rsid w:val="00C466F4"/>
    <w:rsid w:val="00C50AE9"/>
    <w:rsid w:val="00C52E9E"/>
    <w:rsid w:val="00C53B79"/>
    <w:rsid w:val="00C54907"/>
    <w:rsid w:val="00C55A60"/>
    <w:rsid w:val="00C57C84"/>
    <w:rsid w:val="00C608E8"/>
    <w:rsid w:val="00C61316"/>
    <w:rsid w:val="00C61544"/>
    <w:rsid w:val="00C6190E"/>
    <w:rsid w:val="00C6240D"/>
    <w:rsid w:val="00C62470"/>
    <w:rsid w:val="00C64296"/>
    <w:rsid w:val="00C64E9D"/>
    <w:rsid w:val="00C64F5C"/>
    <w:rsid w:val="00C6521D"/>
    <w:rsid w:val="00C66573"/>
    <w:rsid w:val="00C67879"/>
    <w:rsid w:val="00C70983"/>
    <w:rsid w:val="00C70F2C"/>
    <w:rsid w:val="00C71749"/>
    <w:rsid w:val="00C71C2D"/>
    <w:rsid w:val="00C7287F"/>
    <w:rsid w:val="00C72FC9"/>
    <w:rsid w:val="00C7328A"/>
    <w:rsid w:val="00C73354"/>
    <w:rsid w:val="00C75234"/>
    <w:rsid w:val="00C75312"/>
    <w:rsid w:val="00C76F8D"/>
    <w:rsid w:val="00C770A7"/>
    <w:rsid w:val="00C774E3"/>
    <w:rsid w:val="00C77DD6"/>
    <w:rsid w:val="00C813AB"/>
    <w:rsid w:val="00C817F0"/>
    <w:rsid w:val="00C81D42"/>
    <w:rsid w:val="00C84244"/>
    <w:rsid w:val="00C85160"/>
    <w:rsid w:val="00C87FD0"/>
    <w:rsid w:val="00C90B6B"/>
    <w:rsid w:val="00C90C88"/>
    <w:rsid w:val="00C9299E"/>
    <w:rsid w:val="00C92B0B"/>
    <w:rsid w:val="00C93753"/>
    <w:rsid w:val="00C94EA6"/>
    <w:rsid w:val="00C95CA1"/>
    <w:rsid w:val="00C96787"/>
    <w:rsid w:val="00C96C54"/>
    <w:rsid w:val="00C97A10"/>
    <w:rsid w:val="00C97B74"/>
    <w:rsid w:val="00C97D83"/>
    <w:rsid w:val="00CA2A55"/>
    <w:rsid w:val="00CA2B5D"/>
    <w:rsid w:val="00CA6FCA"/>
    <w:rsid w:val="00CB1C06"/>
    <w:rsid w:val="00CB439B"/>
    <w:rsid w:val="00CB6EDE"/>
    <w:rsid w:val="00CB72B2"/>
    <w:rsid w:val="00CC0210"/>
    <w:rsid w:val="00CC0EEC"/>
    <w:rsid w:val="00CC18ED"/>
    <w:rsid w:val="00CC7511"/>
    <w:rsid w:val="00CD12FB"/>
    <w:rsid w:val="00CD1C3C"/>
    <w:rsid w:val="00CD48CE"/>
    <w:rsid w:val="00CD4CB8"/>
    <w:rsid w:val="00CD4F7A"/>
    <w:rsid w:val="00CD53FC"/>
    <w:rsid w:val="00CD54E3"/>
    <w:rsid w:val="00CD7A3A"/>
    <w:rsid w:val="00CD7AAA"/>
    <w:rsid w:val="00CE1CBE"/>
    <w:rsid w:val="00CE6B0B"/>
    <w:rsid w:val="00CE716F"/>
    <w:rsid w:val="00CF0076"/>
    <w:rsid w:val="00CF03D4"/>
    <w:rsid w:val="00CF196A"/>
    <w:rsid w:val="00CF296D"/>
    <w:rsid w:val="00CF2B9A"/>
    <w:rsid w:val="00CF38C5"/>
    <w:rsid w:val="00CF3EAF"/>
    <w:rsid w:val="00CF6423"/>
    <w:rsid w:val="00CF6DB7"/>
    <w:rsid w:val="00D016E2"/>
    <w:rsid w:val="00D023DC"/>
    <w:rsid w:val="00D023FA"/>
    <w:rsid w:val="00D0451B"/>
    <w:rsid w:val="00D056F3"/>
    <w:rsid w:val="00D066E7"/>
    <w:rsid w:val="00D0703F"/>
    <w:rsid w:val="00D073B1"/>
    <w:rsid w:val="00D07AAD"/>
    <w:rsid w:val="00D13339"/>
    <w:rsid w:val="00D14C73"/>
    <w:rsid w:val="00D14E85"/>
    <w:rsid w:val="00D15CB1"/>
    <w:rsid w:val="00D15CFA"/>
    <w:rsid w:val="00D17EB0"/>
    <w:rsid w:val="00D23F20"/>
    <w:rsid w:val="00D24F0C"/>
    <w:rsid w:val="00D250B8"/>
    <w:rsid w:val="00D25CEB"/>
    <w:rsid w:val="00D3032E"/>
    <w:rsid w:val="00D31AD5"/>
    <w:rsid w:val="00D336C3"/>
    <w:rsid w:val="00D33742"/>
    <w:rsid w:val="00D339FB"/>
    <w:rsid w:val="00D351A7"/>
    <w:rsid w:val="00D3558F"/>
    <w:rsid w:val="00D41B86"/>
    <w:rsid w:val="00D4211A"/>
    <w:rsid w:val="00D42836"/>
    <w:rsid w:val="00D42D2A"/>
    <w:rsid w:val="00D4312A"/>
    <w:rsid w:val="00D454B9"/>
    <w:rsid w:val="00D4575B"/>
    <w:rsid w:val="00D46CE8"/>
    <w:rsid w:val="00D512DE"/>
    <w:rsid w:val="00D523AA"/>
    <w:rsid w:val="00D53DB3"/>
    <w:rsid w:val="00D55A22"/>
    <w:rsid w:val="00D57709"/>
    <w:rsid w:val="00D57F89"/>
    <w:rsid w:val="00D6285F"/>
    <w:rsid w:val="00D63577"/>
    <w:rsid w:val="00D652C5"/>
    <w:rsid w:val="00D66308"/>
    <w:rsid w:val="00D7005C"/>
    <w:rsid w:val="00D719CB"/>
    <w:rsid w:val="00D72EF5"/>
    <w:rsid w:val="00D72F0C"/>
    <w:rsid w:val="00D73A4A"/>
    <w:rsid w:val="00D7400D"/>
    <w:rsid w:val="00D74230"/>
    <w:rsid w:val="00D751E8"/>
    <w:rsid w:val="00D759A5"/>
    <w:rsid w:val="00D80364"/>
    <w:rsid w:val="00D8063A"/>
    <w:rsid w:val="00D80D12"/>
    <w:rsid w:val="00D81C11"/>
    <w:rsid w:val="00D81F2B"/>
    <w:rsid w:val="00D83525"/>
    <w:rsid w:val="00D860A8"/>
    <w:rsid w:val="00D90D29"/>
    <w:rsid w:val="00D92349"/>
    <w:rsid w:val="00D9542C"/>
    <w:rsid w:val="00D95C96"/>
    <w:rsid w:val="00D95DA4"/>
    <w:rsid w:val="00D96391"/>
    <w:rsid w:val="00D96EB8"/>
    <w:rsid w:val="00D9741C"/>
    <w:rsid w:val="00D97B58"/>
    <w:rsid w:val="00DA126C"/>
    <w:rsid w:val="00DA146B"/>
    <w:rsid w:val="00DA2F08"/>
    <w:rsid w:val="00DA4553"/>
    <w:rsid w:val="00DA472A"/>
    <w:rsid w:val="00DA4B38"/>
    <w:rsid w:val="00DA4DBF"/>
    <w:rsid w:val="00DA50D2"/>
    <w:rsid w:val="00DA6507"/>
    <w:rsid w:val="00DB2053"/>
    <w:rsid w:val="00DB3B98"/>
    <w:rsid w:val="00DB5675"/>
    <w:rsid w:val="00DB6FFE"/>
    <w:rsid w:val="00DC2D49"/>
    <w:rsid w:val="00DC355C"/>
    <w:rsid w:val="00DC46DE"/>
    <w:rsid w:val="00DC538C"/>
    <w:rsid w:val="00DC5CE1"/>
    <w:rsid w:val="00DC64FA"/>
    <w:rsid w:val="00DC74EA"/>
    <w:rsid w:val="00DD3857"/>
    <w:rsid w:val="00DD5746"/>
    <w:rsid w:val="00DD6260"/>
    <w:rsid w:val="00DD6F9C"/>
    <w:rsid w:val="00DE21A1"/>
    <w:rsid w:val="00DE24FF"/>
    <w:rsid w:val="00DE5996"/>
    <w:rsid w:val="00DF0CEF"/>
    <w:rsid w:val="00DF33DB"/>
    <w:rsid w:val="00DF61E3"/>
    <w:rsid w:val="00DF635F"/>
    <w:rsid w:val="00DF65D4"/>
    <w:rsid w:val="00DF6BE0"/>
    <w:rsid w:val="00DF7753"/>
    <w:rsid w:val="00E02926"/>
    <w:rsid w:val="00E03042"/>
    <w:rsid w:val="00E05576"/>
    <w:rsid w:val="00E05E99"/>
    <w:rsid w:val="00E07692"/>
    <w:rsid w:val="00E07A2F"/>
    <w:rsid w:val="00E122AD"/>
    <w:rsid w:val="00E12A39"/>
    <w:rsid w:val="00E13DC3"/>
    <w:rsid w:val="00E14403"/>
    <w:rsid w:val="00E15EA6"/>
    <w:rsid w:val="00E20485"/>
    <w:rsid w:val="00E20927"/>
    <w:rsid w:val="00E21774"/>
    <w:rsid w:val="00E2194A"/>
    <w:rsid w:val="00E21CCD"/>
    <w:rsid w:val="00E23C82"/>
    <w:rsid w:val="00E276B2"/>
    <w:rsid w:val="00E30899"/>
    <w:rsid w:val="00E30C15"/>
    <w:rsid w:val="00E33190"/>
    <w:rsid w:val="00E335BD"/>
    <w:rsid w:val="00E3538A"/>
    <w:rsid w:val="00E35C6A"/>
    <w:rsid w:val="00E35C9A"/>
    <w:rsid w:val="00E36877"/>
    <w:rsid w:val="00E37F2C"/>
    <w:rsid w:val="00E404A9"/>
    <w:rsid w:val="00E407FC"/>
    <w:rsid w:val="00E40D92"/>
    <w:rsid w:val="00E4119D"/>
    <w:rsid w:val="00E414A4"/>
    <w:rsid w:val="00E435C2"/>
    <w:rsid w:val="00E440E1"/>
    <w:rsid w:val="00E448F5"/>
    <w:rsid w:val="00E44C0A"/>
    <w:rsid w:val="00E457F0"/>
    <w:rsid w:val="00E460EE"/>
    <w:rsid w:val="00E465D3"/>
    <w:rsid w:val="00E46980"/>
    <w:rsid w:val="00E4727F"/>
    <w:rsid w:val="00E4746A"/>
    <w:rsid w:val="00E50AB0"/>
    <w:rsid w:val="00E51CB4"/>
    <w:rsid w:val="00E51D8D"/>
    <w:rsid w:val="00E55BCC"/>
    <w:rsid w:val="00E56BBF"/>
    <w:rsid w:val="00E577B9"/>
    <w:rsid w:val="00E629CB"/>
    <w:rsid w:val="00E62B17"/>
    <w:rsid w:val="00E63A68"/>
    <w:rsid w:val="00E64118"/>
    <w:rsid w:val="00E648F4"/>
    <w:rsid w:val="00E65B0D"/>
    <w:rsid w:val="00E66A4C"/>
    <w:rsid w:val="00E66DE3"/>
    <w:rsid w:val="00E676F4"/>
    <w:rsid w:val="00E71C8E"/>
    <w:rsid w:val="00E73313"/>
    <w:rsid w:val="00E73572"/>
    <w:rsid w:val="00E77744"/>
    <w:rsid w:val="00E801A8"/>
    <w:rsid w:val="00E80BD1"/>
    <w:rsid w:val="00E863A7"/>
    <w:rsid w:val="00E87917"/>
    <w:rsid w:val="00E91277"/>
    <w:rsid w:val="00E95931"/>
    <w:rsid w:val="00E9663C"/>
    <w:rsid w:val="00E96C08"/>
    <w:rsid w:val="00E96C1B"/>
    <w:rsid w:val="00E9761D"/>
    <w:rsid w:val="00EA00A0"/>
    <w:rsid w:val="00EA0405"/>
    <w:rsid w:val="00EA2AE5"/>
    <w:rsid w:val="00EA3286"/>
    <w:rsid w:val="00EA46E4"/>
    <w:rsid w:val="00EA491A"/>
    <w:rsid w:val="00EA75DF"/>
    <w:rsid w:val="00EB0613"/>
    <w:rsid w:val="00EB20AC"/>
    <w:rsid w:val="00EB219D"/>
    <w:rsid w:val="00EB221D"/>
    <w:rsid w:val="00EB34EF"/>
    <w:rsid w:val="00EB43EE"/>
    <w:rsid w:val="00EB4F8D"/>
    <w:rsid w:val="00EB6CAF"/>
    <w:rsid w:val="00EC02B0"/>
    <w:rsid w:val="00EC0B4C"/>
    <w:rsid w:val="00EC2BB7"/>
    <w:rsid w:val="00EC3F6C"/>
    <w:rsid w:val="00EC583F"/>
    <w:rsid w:val="00EC7171"/>
    <w:rsid w:val="00EC7855"/>
    <w:rsid w:val="00ED04B0"/>
    <w:rsid w:val="00ED5EA5"/>
    <w:rsid w:val="00ED6819"/>
    <w:rsid w:val="00ED6C03"/>
    <w:rsid w:val="00EE0C35"/>
    <w:rsid w:val="00EE1A16"/>
    <w:rsid w:val="00EE4CD5"/>
    <w:rsid w:val="00EF203E"/>
    <w:rsid w:val="00EF2661"/>
    <w:rsid w:val="00EF2750"/>
    <w:rsid w:val="00EF3AE9"/>
    <w:rsid w:val="00EF3DB9"/>
    <w:rsid w:val="00EF547F"/>
    <w:rsid w:val="00EF57A6"/>
    <w:rsid w:val="00EF5B0E"/>
    <w:rsid w:val="00EF5B8A"/>
    <w:rsid w:val="00EF6645"/>
    <w:rsid w:val="00F0121E"/>
    <w:rsid w:val="00F02755"/>
    <w:rsid w:val="00F029E8"/>
    <w:rsid w:val="00F033CA"/>
    <w:rsid w:val="00F052EA"/>
    <w:rsid w:val="00F05ABF"/>
    <w:rsid w:val="00F06201"/>
    <w:rsid w:val="00F07AE7"/>
    <w:rsid w:val="00F10159"/>
    <w:rsid w:val="00F10E8B"/>
    <w:rsid w:val="00F11B99"/>
    <w:rsid w:val="00F12B62"/>
    <w:rsid w:val="00F13B28"/>
    <w:rsid w:val="00F16455"/>
    <w:rsid w:val="00F16FC7"/>
    <w:rsid w:val="00F2404E"/>
    <w:rsid w:val="00F24453"/>
    <w:rsid w:val="00F24CBE"/>
    <w:rsid w:val="00F251D4"/>
    <w:rsid w:val="00F26404"/>
    <w:rsid w:val="00F3115D"/>
    <w:rsid w:val="00F324D5"/>
    <w:rsid w:val="00F334BB"/>
    <w:rsid w:val="00F360B3"/>
    <w:rsid w:val="00F3706C"/>
    <w:rsid w:val="00F371D6"/>
    <w:rsid w:val="00F37F7F"/>
    <w:rsid w:val="00F40CF6"/>
    <w:rsid w:val="00F4199B"/>
    <w:rsid w:val="00F43053"/>
    <w:rsid w:val="00F45FFE"/>
    <w:rsid w:val="00F528C0"/>
    <w:rsid w:val="00F55F64"/>
    <w:rsid w:val="00F57778"/>
    <w:rsid w:val="00F6130F"/>
    <w:rsid w:val="00F61412"/>
    <w:rsid w:val="00F615E0"/>
    <w:rsid w:val="00F622E4"/>
    <w:rsid w:val="00F628C4"/>
    <w:rsid w:val="00F628C8"/>
    <w:rsid w:val="00F645E5"/>
    <w:rsid w:val="00F652F7"/>
    <w:rsid w:val="00F6547B"/>
    <w:rsid w:val="00F65E80"/>
    <w:rsid w:val="00F66FDB"/>
    <w:rsid w:val="00F7020A"/>
    <w:rsid w:val="00F708F7"/>
    <w:rsid w:val="00F70AF5"/>
    <w:rsid w:val="00F74D26"/>
    <w:rsid w:val="00F75033"/>
    <w:rsid w:val="00F75561"/>
    <w:rsid w:val="00F7698B"/>
    <w:rsid w:val="00F77FCA"/>
    <w:rsid w:val="00F8217C"/>
    <w:rsid w:val="00F826CC"/>
    <w:rsid w:val="00F92825"/>
    <w:rsid w:val="00F928CF"/>
    <w:rsid w:val="00F94CE0"/>
    <w:rsid w:val="00F94D96"/>
    <w:rsid w:val="00F95C29"/>
    <w:rsid w:val="00F96182"/>
    <w:rsid w:val="00F97D0F"/>
    <w:rsid w:val="00FA32FE"/>
    <w:rsid w:val="00FA43F4"/>
    <w:rsid w:val="00FA73CD"/>
    <w:rsid w:val="00FB145B"/>
    <w:rsid w:val="00FB414C"/>
    <w:rsid w:val="00FB485D"/>
    <w:rsid w:val="00FB5757"/>
    <w:rsid w:val="00FB7A6E"/>
    <w:rsid w:val="00FC188F"/>
    <w:rsid w:val="00FC5048"/>
    <w:rsid w:val="00FC52E2"/>
    <w:rsid w:val="00FC55BD"/>
    <w:rsid w:val="00FC7FF0"/>
    <w:rsid w:val="00FD01B1"/>
    <w:rsid w:val="00FD0C04"/>
    <w:rsid w:val="00FD245C"/>
    <w:rsid w:val="00FD3A11"/>
    <w:rsid w:val="00FD3B05"/>
    <w:rsid w:val="00FD40C8"/>
    <w:rsid w:val="00FD4CF3"/>
    <w:rsid w:val="00FD5241"/>
    <w:rsid w:val="00FE0E98"/>
    <w:rsid w:val="00FE2B15"/>
    <w:rsid w:val="00FE6311"/>
    <w:rsid w:val="00FE683F"/>
    <w:rsid w:val="00FF047A"/>
    <w:rsid w:val="00FF0CB6"/>
    <w:rsid w:val="00FF30C5"/>
    <w:rsid w:val="00FF3767"/>
    <w:rsid w:val="00FF4B11"/>
    <w:rsid w:val="00FF4E00"/>
    <w:rsid w:val="00FF5195"/>
    <w:rsid w:val="00FF6331"/>
    <w:rsid w:val="0190788D"/>
    <w:rsid w:val="038C1345"/>
    <w:rsid w:val="0391BA98"/>
    <w:rsid w:val="07175836"/>
    <w:rsid w:val="07521648"/>
    <w:rsid w:val="0952D84F"/>
    <w:rsid w:val="0A580D8F"/>
    <w:rsid w:val="0CA78B37"/>
    <w:rsid w:val="0EF17F3D"/>
    <w:rsid w:val="0FD5E23B"/>
    <w:rsid w:val="10EED3F9"/>
    <w:rsid w:val="1146B73D"/>
    <w:rsid w:val="145D4322"/>
    <w:rsid w:val="1A8E8D56"/>
    <w:rsid w:val="1B4DE102"/>
    <w:rsid w:val="1B5FE644"/>
    <w:rsid w:val="2011D9F6"/>
    <w:rsid w:val="22046A3F"/>
    <w:rsid w:val="226A0566"/>
    <w:rsid w:val="24602F85"/>
    <w:rsid w:val="24A8C338"/>
    <w:rsid w:val="252463F1"/>
    <w:rsid w:val="257E2E38"/>
    <w:rsid w:val="25D88FCF"/>
    <w:rsid w:val="25D987CB"/>
    <w:rsid w:val="298E33A9"/>
    <w:rsid w:val="2A41A5C9"/>
    <w:rsid w:val="2AB6230D"/>
    <w:rsid w:val="2AF9DA09"/>
    <w:rsid w:val="2B328CC0"/>
    <w:rsid w:val="2BF18AD9"/>
    <w:rsid w:val="2CEB7153"/>
    <w:rsid w:val="2F3A7961"/>
    <w:rsid w:val="2F6325D0"/>
    <w:rsid w:val="3325E6BA"/>
    <w:rsid w:val="37E2D0C3"/>
    <w:rsid w:val="38E3A714"/>
    <w:rsid w:val="38E8B21E"/>
    <w:rsid w:val="394ABE72"/>
    <w:rsid w:val="3B1CD0A4"/>
    <w:rsid w:val="3CD07036"/>
    <w:rsid w:val="3FFC9D90"/>
    <w:rsid w:val="417736FB"/>
    <w:rsid w:val="41A4DBDC"/>
    <w:rsid w:val="433C47AD"/>
    <w:rsid w:val="43D318AB"/>
    <w:rsid w:val="4484DE1A"/>
    <w:rsid w:val="449CA7E7"/>
    <w:rsid w:val="471484EE"/>
    <w:rsid w:val="48DCDD1D"/>
    <w:rsid w:val="4D19106D"/>
    <w:rsid w:val="4D85F9D7"/>
    <w:rsid w:val="4DB2D236"/>
    <w:rsid w:val="5285C5B0"/>
    <w:rsid w:val="5302893C"/>
    <w:rsid w:val="53FBD4C7"/>
    <w:rsid w:val="56AB2868"/>
    <w:rsid w:val="5725EC62"/>
    <w:rsid w:val="573AAC88"/>
    <w:rsid w:val="58D5F302"/>
    <w:rsid w:val="59D27663"/>
    <w:rsid w:val="5AFFACEE"/>
    <w:rsid w:val="5DCFEED2"/>
    <w:rsid w:val="5E04D9F2"/>
    <w:rsid w:val="6596916D"/>
    <w:rsid w:val="672CB087"/>
    <w:rsid w:val="689EF204"/>
    <w:rsid w:val="69B5E053"/>
    <w:rsid w:val="6BF46377"/>
    <w:rsid w:val="6C3FD931"/>
    <w:rsid w:val="6C6F8E1A"/>
    <w:rsid w:val="6E0D6A4C"/>
    <w:rsid w:val="6FC5D938"/>
    <w:rsid w:val="7259D923"/>
    <w:rsid w:val="758356A9"/>
    <w:rsid w:val="769DB805"/>
    <w:rsid w:val="7984F6AF"/>
    <w:rsid w:val="7ADB970F"/>
    <w:rsid w:val="7AF82F34"/>
    <w:rsid w:val="7BDE33D3"/>
    <w:rsid w:val="7E3FC9F7"/>
    <w:rsid w:val="7E91D9B4"/>
    <w:rsid w:val="7EA756C5"/>
    <w:rsid w:val="7F1DE63A"/>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57F3DB"/>
  <w15:docId w15:val="{38CB5F00-7D50-41E5-9D24-C166E0AE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l-GR"/>
    </w:rPr>
  </w:style>
  <w:style w:type="paragraph" w:styleId="Heading1">
    <w:name w:val="heading 1"/>
    <w:basedOn w:val="Normal"/>
    <w:next w:val="Heading2"/>
    <w:link w:val="Heading1Char"/>
    <w:qFormat/>
    <w:rsid w:val="00CB439B"/>
    <w:pPr>
      <w:spacing w:before="360" w:after="240"/>
      <w:jc w:val="center"/>
      <w:outlineLvl w:val="0"/>
    </w:pPr>
    <w:rPr>
      <w:rFonts w:ascii="Arial" w:hAnsi="Arial"/>
      <w:b/>
      <w:bCs/>
      <w:kern w:val="32"/>
      <w:sz w:val="20"/>
      <w:szCs w:val="32"/>
      <w:lang w:val="en-CA" w:eastAsia="zh-CN"/>
    </w:rPr>
  </w:style>
  <w:style w:type="paragraph" w:styleId="Heading2">
    <w:name w:val="heading 2"/>
    <w:basedOn w:val="Normal"/>
    <w:next w:val="Normal"/>
    <w:link w:val="Heading2Char"/>
    <w:semiHidden/>
    <w:unhideWhenUsed/>
    <w:qFormat/>
    <w:rsid w:val="00CB439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 w:type="character" w:styleId="FootnoteReference">
    <w:name w:val="footnote reference"/>
    <w:basedOn w:val="DefaultParagraphFont"/>
    <w:rsid w:val="00805BCE"/>
    <w:rPr>
      <w:vertAlign w:val="superscript"/>
    </w:rPr>
  </w:style>
  <w:style w:type="paragraph" w:styleId="FootnoteText">
    <w:name w:val="footnote text"/>
    <w:basedOn w:val="Normal"/>
    <w:link w:val="FootnoteTextChar"/>
    <w:uiPriority w:val="99"/>
    <w:rsid w:val="000F3DF7"/>
    <w:rPr>
      <w:sz w:val="20"/>
      <w:szCs w:val="20"/>
    </w:rPr>
  </w:style>
  <w:style w:type="character" w:customStyle="1" w:styleId="FootnoteTextChar">
    <w:name w:val="Footnote Text Char"/>
    <w:basedOn w:val="DefaultParagraphFont"/>
    <w:link w:val="FootnoteText"/>
    <w:uiPriority w:val="99"/>
    <w:rsid w:val="000F3DF7"/>
    <w:rPr>
      <w:sz w:val="20"/>
      <w:szCs w:val="20"/>
    </w:rPr>
  </w:style>
  <w:style w:type="paragraph" w:styleId="ListParagraph">
    <w:name w:val="List Paragraph"/>
    <w:basedOn w:val="Normal"/>
    <w:uiPriority w:val="34"/>
    <w:qFormat/>
    <w:rsid w:val="002300D2"/>
    <w:pPr>
      <w:ind w:left="720"/>
      <w:contextualSpacing/>
    </w:pPr>
  </w:style>
  <w:style w:type="table" w:styleId="TableGrid">
    <w:name w:val="Table Grid"/>
    <w:basedOn w:val="TableNormal"/>
    <w:uiPriority w:val="39"/>
    <w:rsid w:val="002300D2"/>
    <w:rPr>
      <w:rFonts w:asciiTheme="minorHAnsi" w:eastAsiaTheme="minorHAnsi" w:hAnsiTheme="minorHAnsi" w:cstheme="minorBidi"/>
      <w:kern w:val="2"/>
      <w:sz w:val="24"/>
      <w:szCs w:val="24"/>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D4587"/>
    <w:pPr>
      <w:tabs>
        <w:tab w:val="center" w:pos="4680"/>
        <w:tab w:val="right" w:pos="9360"/>
      </w:tabs>
    </w:pPr>
  </w:style>
  <w:style w:type="character" w:customStyle="1" w:styleId="HeaderChar">
    <w:name w:val="Header Char"/>
    <w:basedOn w:val="DefaultParagraphFont"/>
    <w:link w:val="Header"/>
    <w:rsid w:val="001D4587"/>
    <w:rPr>
      <w:sz w:val="24"/>
      <w:szCs w:val="24"/>
    </w:rPr>
  </w:style>
  <w:style w:type="paragraph" w:styleId="Footer">
    <w:name w:val="footer"/>
    <w:basedOn w:val="Normal"/>
    <w:link w:val="FooterChar"/>
    <w:uiPriority w:val="99"/>
    <w:rsid w:val="001D4587"/>
    <w:pPr>
      <w:tabs>
        <w:tab w:val="center" w:pos="4680"/>
        <w:tab w:val="right" w:pos="9360"/>
      </w:tabs>
    </w:pPr>
  </w:style>
  <w:style w:type="character" w:customStyle="1" w:styleId="FooterChar">
    <w:name w:val="Footer Char"/>
    <w:basedOn w:val="DefaultParagraphFont"/>
    <w:link w:val="Footer"/>
    <w:uiPriority w:val="99"/>
    <w:rsid w:val="001D4587"/>
    <w:rPr>
      <w:sz w:val="24"/>
      <w:szCs w:val="24"/>
    </w:rPr>
  </w:style>
  <w:style w:type="paragraph" w:styleId="Revision">
    <w:name w:val="Revision"/>
    <w:hidden/>
    <w:uiPriority w:val="99"/>
    <w:semiHidden/>
    <w:rsid w:val="009B50A4"/>
    <w:rPr>
      <w:sz w:val="24"/>
      <w:szCs w:val="24"/>
    </w:rPr>
  </w:style>
  <w:style w:type="character" w:styleId="CommentReference">
    <w:name w:val="annotation reference"/>
    <w:basedOn w:val="DefaultParagraphFont"/>
    <w:uiPriority w:val="99"/>
    <w:rsid w:val="003842A7"/>
    <w:rPr>
      <w:sz w:val="16"/>
      <w:szCs w:val="16"/>
    </w:rPr>
  </w:style>
  <w:style w:type="paragraph" w:styleId="CommentText">
    <w:name w:val="annotation text"/>
    <w:basedOn w:val="Normal"/>
    <w:link w:val="CommentTextChar"/>
    <w:uiPriority w:val="99"/>
    <w:rsid w:val="003842A7"/>
    <w:rPr>
      <w:sz w:val="20"/>
      <w:szCs w:val="20"/>
    </w:rPr>
  </w:style>
  <w:style w:type="character" w:customStyle="1" w:styleId="CommentTextChar">
    <w:name w:val="Comment Text Char"/>
    <w:basedOn w:val="DefaultParagraphFont"/>
    <w:link w:val="CommentText"/>
    <w:uiPriority w:val="99"/>
    <w:rsid w:val="003842A7"/>
  </w:style>
  <w:style w:type="paragraph" w:styleId="CommentSubject">
    <w:name w:val="annotation subject"/>
    <w:basedOn w:val="CommentText"/>
    <w:next w:val="CommentText"/>
    <w:link w:val="CommentSubjectChar"/>
    <w:rsid w:val="003842A7"/>
    <w:rPr>
      <w:b/>
      <w:bCs/>
    </w:rPr>
  </w:style>
  <w:style w:type="character" w:customStyle="1" w:styleId="CommentSubjectChar">
    <w:name w:val="Comment Subject Char"/>
    <w:basedOn w:val="CommentTextChar"/>
    <w:link w:val="CommentSubject"/>
    <w:rsid w:val="003842A7"/>
    <w:rPr>
      <w:b/>
      <w:bCs/>
    </w:rPr>
  </w:style>
  <w:style w:type="character" w:styleId="Hyperlink">
    <w:name w:val="Hyperlink"/>
    <w:basedOn w:val="DefaultParagraphFont"/>
    <w:rsid w:val="00A51E29"/>
    <w:rPr>
      <w:color w:val="0000FF" w:themeColor="hyperlink"/>
      <w:u w:val="single"/>
    </w:rPr>
  </w:style>
  <w:style w:type="character" w:customStyle="1" w:styleId="UnresolvedMention">
    <w:name w:val="Unresolved Mention"/>
    <w:basedOn w:val="DefaultParagraphFont"/>
    <w:uiPriority w:val="99"/>
    <w:semiHidden/>
    <w:unhideWhenUsed/>
    <w:rsid w:val="00A51E29"/>
    <w:rPr>
      <w:color w:val="605E5C"/>
      <w:shd w:val="clear" w:color="auto" w:fill="E1DFDD"/>
    </w:rPr>
  </w:style>
  <w:style w:type="paragraph" w:styleId="NormalWeb">
    <w:name w:val="Normal (Web)"/>
    <w:basedOn w:val="Normal"/>
    <w:uiPriority w:val="99"/>
    <w:unhideWhenUsed/>
    <w:rsid w:val="00566D06"/>
    <w:pPr>
      <w:spacing w:before="100" w:beforeAutospacing="1" w:after="100" w:afterAutospacing="1"/>
    </w:pPr>
    <w:rPr>
      <w:kern w:val="0"/>
    </w:rPr>
  </w:style>
  <w:style w:type="character" w:styleId="Strong">
    <w:name w:val="Strong"/>
    <w:basedOn w:val="DefaultParagraphFont"/>
    <w:uiPriority w:val="22"/>
    <w:qFormat/>
    <w:rsid w:val="00566D06"/>
    <w:rPr>
      <w:b/>
      <w:bCs/>
    </w:rPr>
  </w:style>
  <w:style w:type="character" w:customStyle="1" w:styleId="Heading1Char">
    <w:name w:val="Heading 1 Char"/>
    <w:basedOn w:val="DefaultParagraphFont"/>
    <w:link w:val="Heading1"/>
    <w:rsid w:val="00CB439B"/>
    <w:rPr>
      <w:rFonts w:ascii="Arial" w:hAnsi="Arial"/>
      <w:b/>
      <w:bCs/>
      <w:kern w:val="32"/>
      <w:szCs w:val="32"/>
      <w:lang w:val="en-CA" w:eastAsia="zh-CN" w:bidi="th-TH"/>
    </w:rPr>
  </w:style>
  <w:style w:type="character" w:customStyle="1" w:styleId="Heading2Char">
    <w:name w:val="Heading 2 Char"/>
    <w:basedOn w:val="DefaultParagraphFont"/>
    <w:link w:val="Heading2"/>
    <w:semiHidden/>
    <w:rsid w:val="00CB439B"/>
    <w:rPr>
      <w:rFonts w:asciiTheme="majorHAnsi" w:eastAsiaTheme="majorEastAsia" w:hAnsiTheme="majorHAnsi" w:cstheme="majorBidi"/>
      <w:color w:val="365F91" w:themeColor="accent1" w:themeShade="BF"/>
      <w:sz w:val="26"/>
      <w:szCs w:val="26"/>
    </w:rPr>
  </w:style>
  <w:style w:type="character" w:customStyle="1" w:styleId="cf01">
    <w:name w:val="cf01"/>
    <w:basedOn w:val="DefaultParagraphFont"/>
    <w:rsid w:val="0036707F"/>
    <w:rPr>
      <w:rFonts w:ascii="Segoe UI" w:hAnsi="Segoe UI" w:cs="Segoe UI" w:hint="default"/>
      <w:sz w:val="18"/>
      <w:szCs w:val="18"/>
    </w:rPr>
  </w:style>
  <w:style w:type="character" w:styleId="PlaceholderText">
    <w:name w:val="Placeholder Text"/>
    <w:basedOn w:val="DefaultParagraphFont"/>
    <w:uiPriority w:val="99"/>
    <w:semiHidden/>
    <w:rsid w:val="00F9282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3778">
      <w:bodyDiv w:val="1"/>
      <w:marLeft w:val="0"/>
      <w:marRight w:val="0"/>
      <w:marTop w:val="0"/>
      <w:marBottom w:val="0"/>
      <w:divBdr>
        <w:top w:val="none" w:sz="0" w:space="0" w:color="auto"/>
        <w:left w:val="none" w:sz="0" w:space="0" w:color="auto"/>
        <w:bottom w:val="none" w:sz="0" w:space="0" w:color="auto"/>
        <w:right w:val="none" w:sz="0" w:space="0" w:color="auto"/>
      </w:divBdr>
    </w:div>
    <w:div w:id="218712501">
      <w:bodyDiv w:val="1"/>
      <w:marLeft w:val="0"/>
      <w:marRight w:val="0"/>
      <w:marTop w:val="0"/>
      <w:marBottom w:val="0"/>
      <w:divBdr>
        <w:top w:val="none" w:sz="0" w:space="0" w:color="auto"/>
        <w:left w:val="none" w:sz="0" w:space="0" w:color="auto"/>
        <w:bottom w:val="none" w:sz="0" w:space="0" w:color="auto"/>
        <w:right w:val="none" w:sz="0" w:space="0" w:color="auto"/>
      </w:divBdr>
    </w:div>
    <w:div w:id="314260905">
      <w:bodyDiv w:val="1"/>
      <w:marLeft w:val="0"/>
      <w:marRight w:val="0"/>
      <w:marTop w:val="0"/>
      <w:marBottom w:val="0"/>
      <w:divBdr>
        <w:top w:val="none" w:sz="0" w:space="0" w:color="auto"/>
        <w:left w:val="none" w:sz="0" w:space="0" w:color="auto"/>
        <w:bottom w:val="none" w:sz="0" w:space="0" w:color="auto"/>
        <w:right w:val="none" w:sz="0" w:space="0" w:color="auto"/>
      </w:divBdr>
    </w:div>
    <w:div w:id="469832731">
      <w:bodyDiv w:val="1"/>
      <w:marLeft w:val="0"/>
      <w:marRight w:val="0"/>
      <w:marTop w:val="0"/>
      <w:marBottom w:val="0"/>
      <w:divBdr>
        <w:top w:val="none" w:sz="0" w:space="0" w:color="auto"/>
        <w:left w:val="none" w:sz="0" w:space="0" w:color="auto"/>
        <w:bottom w:val="none" w:sz="0" w:space="0" w:color="auto"/>
        <w:right w:val="none" w:sz="0" w:space="0" w:color="auto"/>
      </w:divBdr>
    </w:div>
    <w:div w:id="496309182">
      <w:bodyDiv w:val="1"/>
      <w:marLeft w:val="0"/>
      <w:marRight w:val="0"/>
      <w:marTop w:val="0"/>
      <w:marBottom w:val="0"/>
      <w:divBdr>
        <w:top w:val="none" w:sz="0" w:space="0" w:color="auto"/>
        <w:left w:val="none" w:sz="0" w:space="0" w:color="auto"/>
        <w:bottom w:val="none" w:sz="0" w:space="0" w:color="auto"/>
        <w:right w:val="none" w:sz="0" w:space="0" w:color="auto"/>
      </w:divBdr>
    </w:div>
    <w:div w:id="558247329">
      <w:bodyDiv w:val="1"/>
      <w:marLeft w:val="0"/>
      <w:marRight w:val="0"/>
      <w:marTop w:val="0"/>
      <w:marBottom w:val="0"/>
      <w:divBdr>
        <w:top w:val="none" w:sz="0" w:space="0" w:color="auto"/>
        <w:left w:val="none" w:sz="0" w:space="0" w:color="auto"/>
        <w:bottom w:val="none" w:sz="0" w:space="0" w:color="auto"/>
        <w:right w:val="none" w:sz="0" w:space="0" w:color="auto"/>
      </w:divBdr>
    </w:div>
    <w:div w:id="1049959991">
      <w:bodyDiv w:val="1"/>
      <w:marLeft w:val="0"/>
      <w:marRight w:val="0"/>
      <w:marTop w:val="0"/>
      <w:marBottom w:val="0"/>
      <w:divBdr>
        <w:top w:val="none" w:sz="0" w:space="0" w:color="auto"/>
        <w:left w:val="none" w:sz="0" w:space="0" w:color="auto"/>
        <w:bottom w:val="none" w:sz="0" w:space="0" w:color="auto"/>
        <w:right w:val="none" w:sz="0" w:space="0" w:color="auto"/>
      </w:divBdr>
    </w:div>
    <w:div w:id="1067993410">
      <w:bodyDiv w:val="1"/>
      <w:marLeft w:val="0"/>
      <w:marRight w:val="0"/>
      <w:marTop w:val="0"/>
      <w:marBottom w:val="0"/>
      <w:divBdr>
        <w:top w:val="none" w:sz="0" w:space="0" w:color="auto"/>
        <w:left w:val="none" w:sz="0" w:space="0" w:color="auto"/>
        <w:bottom w:val="none" w:sz="0" w:space="0" w:color="auto"/>
        <w:right w:val="none" w:sz="0" w:space="0" w:color="auto"/>
      </w:divBdr>
    </w:div>
    <w:div w:id="1181356968">
      <w:bodyDiv w:val="1"/>
      <w:marLeft w:val="0"/>
      <w:marRight w:val="0"/>
      <w:marTop w:val="0"/>
      <w:marBottom w:val="0"/>
      <w:divBdr>
        <w:top w:val="none" w:sz="0" w:space="0" w:color="auto"/>
        <w:left w:val="none" w:sz="0" w:space="0" w:color="auto"/>
        <w:bottom w:val="none" w:sz="0" w:space="0" w:color="auto"/>
        <w:right w:val="none" w:sz="0" w:space="0" w:color="auto"/>
      </w:divBdr>
    </w:div>
    <w:div w:id="1192301717">
      <w:bodyDiv w:val="1"/>
      <w:marLeft w:val="0"/>
      <w:marRight w:val="0"/>
      <w:marTop w:val="0"/>
      <w:marBottom w:val="0"/>
      <w:divBdr>
        <w:top w:val="none" w:sz="0" w:space="0" w:color="auto"/>
        <w:left w:val="none" w:sz="0" w:space="0" w:color="auto"/>
        <w:bottom w:val="none" w:sz="0" w:space="0" w:color="auto"/>
        <w:right w:val="none" w:sz="0" w:space="0" w:color="auto"/>
      </w:divBdr>
    </w:div>
    <w:div w:id="1281112702">
      <w:bodyDiv w:val="1"/>
      <w:marLeft w:val="0"/>
      <w:marRight w:val="0"/>
      <w:marTop w:val="0"/>
      <w:marBottom w:val="0"/>
      <w:divBdr>
        <w:top w:val="none" w:sz="0" w:space="0" w:color="auto"/>
        <w:left w:val="none" w:sz="0" w:space="0" w:color="auto"/>
        <w:bottom w:val="none" w:sz="0" w:space="0" w:color="auto"/>
        <w:right w:val="none" w:sz="0" w:space="0" w:color="auto"/>
      </w:divBdr>
    </w:div>
    <w:div w:id="1375496324">
      <w:bodyDiv w:val="1"/>
      <w:marLeft w:val="0"/>
      <w:marRight w:val="0"/>
      <w:marTop w:val="0"/>
      <w:marBottom w:val="0"/>
      <w:divBdr>
        <w:top w:val="none" w:sz="0" w:space="0" w:color="auto"/>
        <w:left w:val="none" w:sz="0" w:space="0" w:color="auto"/>
        <w:bottom w:val="none" w:sz="0" w:space="0" w:color="auto"/>
        <w:right w:val="none" w:sz="0" w:space="0" w:color="auto"/>
      </w:divBdr>
    </w:div>
    <w:div w:id="139711992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ika.Xirouchaki@eldoradogold.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llas-gold.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2cd12b-664c-4324-bdb8-6e429f4d8dc7">
      <Terms xmlns="http://schemas.microsoft.com/office/infopath/2007/PartnerControls"/>
    </lcf76f155ced4ddcb4097134ff3c332f>
    <TaxCatchAll xmlns="7c110d42-4683-43f1-96a4-7c7e941f11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AD35AD04F3D7479C8CEE2DE8DFF125" ma:contentTypeVersion="15" ma:contentTypeDescription="Create a new document." ma:contentTypeScope="" ma:versionID="68af3866c259e3221499b7d17f0ecbf1">
  <xsd:schema xmlns:xsd="http://www.w3.org/2001/XMLSchema" xmlns:xs="http://www.w3.org/2001/XMLSchema" xmlns:p="http://schemas.microsoft.com/office/2006/metadata/properties" xmlns:ns2="342cd12b-664c-4324-bdb8-6e429f4d8dc7" xmlns:ns3="7c110d42-4683-43f1-96a4-7c7e941f1108" targetNamespace="http://schemas.microsoft.com/office/2006/metadata/properties" ma:root="true" ma:fieldsID="1e66d61ed093fe377b4f1f8e2b519dae" ns2:_="" ns3:_="">
    <xsd:import namespace="342cd12b-664c-4324-bdb8-6e429f4d8dc7"/>
    <xsd:import namespace="7c110d42-4683-43f1-96a4-7c7e941f11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cd12b-664c-4324-bdb8-6e429f4d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ee90750-8f71-40f6-953d-bf18f71a77a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110d42-4683-43f1-96a4-7c7e941f11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03b1a1-6f5d-4414-b511-90fd90d4e917}" ma:internalName="TaxCatchAll" ma:showField="CatchAllData" ma:web="7c110d42-4683-43f1-96a4-7c7e941f110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F8309-0B86-4E0E-AD2A-8D9E2BD8F14F}">
  <ds:schemaRefs>
    <ds:schemaRef ds:uri="http://schemas.microsoft.com/office/2006/metadata/properties"/>
    <ds:schemaRef ds:uri="http://schemas.microsoft.com/office/infopath/2007/PartnerControls"/>
    <ds:schemaRef ds:uri="342cd12b-664c-4324-bdb8-6e429f4d8dc7"/>
    <ds:schemaRef ds:uri="7c110d42-4683-43f1-96a4-7c7e941f1108"/>
  </ds:schemaRefs>
</ds:datastoreItem>
</file>

<file path=customXml/itemProps2.xml><?xml version="1.0" encoding="utf-8"?>
<ds:datastoreItem xmlns:ds="http://schemas.openxmlformats.org/officeDocument/2006/customXml" ds:itemID="{745F4A22-EC02-4410-82C3-99E32AEC72D1}">
  <ds:schemaRefs>
    <ds:schemaRef ds:uri="http://schemas.microsoft.com/sharepoint/v3/contenttype/forms"/>
  </ds:schemaRefs>
</ds:datastoreItem>
</file>

<file path=customXml/itemProps3.xml><?xml version="1.0" encoding="utf-8"?>
<ds:datastoreItem xmlns:ds="http://schemas.openxmlformats.org/officeDocument/2006/customXml" ds:itemID="{3C248093-45A5-45ED-A5AD-F6E83D594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cd12b-664c-4324-bdb8-6e429f4d8dc7"/>
    <ds:schemaRef ds:uri="7c110d42-4683-43f1-96a4-7c7e941f1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F32B5F-C58F-4F73-9C89-0B2B6D6A3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2964</Words>
  <Characters>16897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Eldorado Gold Reports Q2 2024 Οικονομικά και Λειτουργικά Αποτελέσματα - 99,1</vt:lpstr>
    </vt:vector>
  </TitlesOfParts>
  <Company/>
  <LinksUpToDate>false</LinksUpToDate>
  <CharactersWithSpaces>19822</CharactersWithSpaces>
  <SharedDoc>false</SharedDoc>
  <HLinks>
    <vt:vector size="12" baseType="variant">
      <vt:variant>
        <vt:i4>3866701</vt:i4>
      </vt:variant>
      <vt:variant>
        <vt:i4>3</vt:i4>
      </vt:variant>
      <vt:variant>
        <vt:i4>0</vt:i4>
      </vt:variant>
      <vt:variant>
        <vt:i4>5</vt:i4>
      </vt:variant>
      <vt:variant>
        <vt:lpwstr>mailto:Erika.Xirouchaki@eldoradogold.com</vt:lpwstr>
      </vt:variant>
      <vt:variant>
        <vt:lpwstr/>
      </vt:variant>
      <vt:variant>
        <vt:i4>5701645</vt:i4>
      </vt:variant>
      <vt:variant>
        <vt:i4>0</vt:i4>
      </vt:variant>
      <vt:variant>
        <vt:i4>0</vt:i4>
      </vt:variant>
      <vt:variant>
        <vt:i4>5</vt:i4>
      </vt:variant>
      <vt:variant>
        <vt:lpwstr>https://www.hellas-gold.com/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Eldorado Gold Reports Q2 2024 Οικονομικά και Λειτουργικά Αποτελέσματα - 99,1</dc:title>
  <dc:subject/>
  <dc:creator>Tessa Jolly (VAN)</dc:creator>
  <cp:keywords/>
  <cp:lastModifiedBy>vickaki</cp:lastModifiedBy>
  <cp:revision>2</cp:revision>
  <cp:lastPrinted>2025-02-04T19:03:00Z</cp:lastPrinted>
  <dcterms:created xsi:type="dcterms:W3CDTF">2025-02-06T08:52:00Z</dcterms:created>
  <dcterms:modified xsi:type="dcterms:W3CDTF">2025-02-06T08:52:00Z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0x01010042AD35AD04F3D7479C8CEE2DE8DFF125</vt:lpwstr>
  </property>
  <property fmtid="{D5CDD505-2E9C-101B-9397-08002B2CF9AE}" pid="3" name="MediaServiceImageTags">
    <vt:lpwstr/>
  </property>
</Properties>
</file>